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AB" w:rsidRDefault="009439AB" w:rsidP="009439AB">
      <w:pPr>
        <w:ind w:left="-567"/>
        <w:rPr>
          <w:sz w:val="24"/>
          <w:szCs w:val="24"/>
        </w:rPr>
      </w:pPr>
    </w:p>
    <w:p w:rsidR="009439AB" w:rsidRDefault="009439AB" w:rsidP="009439AB">
      <w:pPr>
        <w:ind w:left="-567"/>
        <w:rPr>
          <w:sz w:val="24"/>
          <w:szCs w:val="24"/>
        </w:rPr>
      </w:pPr>
      <w:r w:rsidRPr="00292E64">
        <w:rPr>
          <w:noProof/>
          <w:sz w:val="24"/>
          <w:szCs w:val="24"/>
          <w:lang w:eastAsia="de-DE"/>
        </w:rPr>
        <mc:AlternateContent>
          <mc:Choice Requires="wps">
            <w:drawing>
              <wp:anchor distT="0" distB="0" distL="114300" distR="114300" simplePos="0" relativeHeight="251659264" behindDoc="0" locked="0" layoutInCell="1" allowOverlap="1" wp14:anchorId="7832DCE7" wp14:editId="52517B6F">
                <wp:simplePos x="0" y="0"/>
                <wp:positionH relativeFrom="column">
                  <wp:posOffset>842645</wp:posOffset>
                </wp:positionH>
                <wp:positionV relativeFrom="paragraph">
                  <wp:posOffset>7225030</wp:posOffset>
                </wp:positionV>
                <wp:extent cx="4248150" cy="1403985"/>
                <wp:effectExtent l="0" t="0" r="19050"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3985"/>
                        </a:xfrm>
                        <a:prstGeom prst="rect">
                          <a:avLst/>
                        </a:prstGeom>
                        <a:solidFill>
                          <a:srgbClr val="FFFFFF"/>
                        </a:solidFill>
                        <a:ln w="9525">
                          <a:solidFill>
                            <a:schemeClr val="bg1"/>
                          </a:solidFill>
                          <a:miter lim="800000"/>
                          <a:headEnd/>
                          <a:tailEnd/>
                        </a:ln>
                      </wps:spPr>
                      <wps:txbx>
                        <w:txbxContent>
                          <w:p w:rsidR="00995CFB" w:rsidRPr="003C376E" w:rsidRDefault="00995CFB" w:rsidP="009439AB">
                            <w:pPr>
                              <w:rPr>
                                <w:b/>
                                <w:color w:val="00B0F0"/>
                                <w:sz w:val="36"/>
                                <w:szCs w:val="36"/>
                              </w:rPr>
                            </w:pPr>
                            <w:r w:rsidRPr="00292E64">
                              <w:rPr>
                                <w:b/>
                                <w:sz w:val="36"/>
                                <w:szCs w:val="36"/>
                              </w:rPr>
                              <w:t xml:space="preserve">- </w:t>
                            </w:r>
                            <w:r>
                              <w:rPr>
                                <w:b/>
                                <w:sz w:val="36"/>
                                <w:szCs w:val="36"/>
                              </w:rPr>
                              <w:t>Fortschreibung per 31.12</w:t>
                            </w:r>
                            <w:r w:rsidRPr="0023573C">
                              <w:rPr>
                                <w:b/>
                                <w:sz w:val="36"/>
                                <w:szCs w:val="36"/>
                              </w:rPr>
                              <w:t xml:space="preserve">.2016 -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6.35pt;margin-top:568.9pt;width:3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" strokecolor="white [3212]">
                <v:textbox style="mso-fit-shape-to-text:t">
                  <w:txbxContent>
                    <w:p w:rsidR="00995CFB" w:rsidRPr="003C376E" w:rsidRDefault="00995CFB" w:rsidP="009439AB">
                      <w:pPr>
                        <w:rPr>
                          <w:b/>
                          <w:color w:val="00B0F0"/>
                          <w:sz w:val="36"/>
                          <w:szCs w:val="36"/>
                        </w:rPr>
                      </w:pPr>
                      <w:r w:rsidRPr="00292E64">
                        <w:rPr>
                          <w:b/>
                          <w:sz w:val="36"/>
                          <w:szCs w:val="36"/>
                        </w:rPr>
                        <w:t xml:space="preserve">- </w:t>
                      </w:r>
                      <w:r>
                        <w:rPr>
                          <w:b/>
                          <w:sz w:val="36"/>
                          <w:szCs w:val="36"/>
                        </w:rPr>
                        <w:t>Fortschreibung per 31.12</w:t>
                      </w:r>
                      <w:r w:rsidRPr="0023573C">
                        <w:rPr>
                          <w:b/>
                          <w:sz w:val="36"/>
                          <w:szCs w:val="36"/>
                        </w:rPr>
                        <w:t xml:space="preserve">.2016 - </w:t>
                      </w:r>
                    </w:p>
                  </w:txbxContent>
                </v:textbox>
              </v:shape>
            </w:pict>
          </mc:Fallback>
        </mc:AlternateContent>
      </w:r>
      <w:r>
        <w:rPr>
          <w:noProof/>
          <w:sz w:val="24"/>
          <w:szCs w:val="24"/>
          <w:lang w:eastAsia="de-DE"/>
        </w:rPr>
        <w:drawing>
          <wp:inline distT="0" distB="0" distL="0" distR="0" wp14:anchorId="1AF9325C" wp14:editId="650DAF83">
            <wp:extent cx="6743674" cy="8601075"/>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5503" cy="8603408"/>
                    </a:xfrm>
                    <a:prstGeom prst="rect">
                      <a:avLst/>
                    </a:prstGeom>
                    <a:noFill/>
                    <a:ln>
                      <a:noFill/>
                    </a:ln>
                  </pic:spPr>
                </pic:pic>
              </a:graphicData>
            </a:graphic>
          </wp:inline>
        </w:drawing>
      </w:r>
    </w:p>
    <w:p w:rsidR="009439AB" w:rsidRDefault="009439AB" w:rsidP="009439AB">
      <w:pPr>
        <w:ind w:left="-567"/>
        <w:rPr>
          <w:sz w:val="24"/>
          <w:szCs w:val="24"/>
        </w:rPr>
      </w:pPr>
    </w:p>
    <w:p w:rsidR="009439AB" w:rsidRDefault="009439AB" w:rsidP="009439AB">
      <w:pPr>
        <w:ind w:left="-567"/>
        <w:rPr>
          <w:sz w:val="24"/>
          <w:szCs w:val="24"/>
        </w:rPr>
      </w:pPr>
    </w:p>
    <w:p w:rsidR="009439AB" w:rsidRPr="00953DC8" w:rsidRDefault="009439AB" w:rsidP="009439AB">
      <w:pPr>
        <w:rPr>
          <w:b/>
          <w:sz w:val="24"/>
          <w:szCs w:val="24"/>
        </w:rPr>
      </w:pPr>
      <w:r w:rsidRPr="00953DC8">
        <w:rPr>
          <w:b/>
          <w:sz w:val="24"/>
          <w:szCs w:val="24"/>
        </w:rPr>
        <w:t>Impressum</w:t>
      </w:r>
    </w:p>
    <w:p w:rsidR="00FB15B3" w:rsidRDefault="00FB15B3" w:rsidP="009439AB">
      <w:pPr>
        <w:spacing w:after="120" w:line="240" w:lineRule="auto"/>
        <w:rPr>
          <w:sz w:val="24"/>
          <w:szCs w:val="24"/>
        </w:rPr>
      </w:pPr>
      <w:r>
        <w:rPr>
          <w:sz w:val="24"/>
          <w:szCs w:val="24"/>
        </w:rPr>
        <w:t>Diana Gotthardt</w:t>
      </w:r>
      <w:r>
        <w:rPr>
          <w:sz w:val="24"/>
          <w:szCs w:val="24"/>
        </w:rPr>
        <w:tab/>
      </w:r>
      <w:r>
        <w:rPr>
          <w:sz w:val="24"/>
          <w:szCs w:val="24"/>
        </w:rPr>
        <w:tab/>
        <w:t>Sachbearbeiterin FD 20 Finanzen</w:t>
      </w:r>
    </w:p>
    <w:p w:rsidR="009439AB" w:rsidRDefault="007276CB" w:rsidP="009439AB">
      <w:pPr>
        <w:spacing w:after="120" w:line="240" w:lineRule="auto"/>
        <w:rPr>
          <w:sz w:val="24"/>
          <w:szCs w:val="24"/>
        </w:rPr>
      </w:pPr>
      <w:r w:rsidRPr="007276CB">
        <w:rPr>
          <w:sz w:val="24"/>
          <w:szCs w:val="24"/>
        </w:rPr>
        <w:t>Kerstin Martin</w:t>
      </w:r>
      <w:r w:rsidR="009439AB" w:rsidRPr="007276CB">
        <w:rPr>
          <w:sz w:val="24"/>
          <w:szCs w:val="24"/>
        </w:rPr>
        <w:tab/>
      </w:r>
      <w:r w:rsidR="009439AB" w:rsidRPr="007276CB">
        <w:rPr>
          <w:sz w:val="24"/>
          <w:szCs w:val="24"/>
        </w:rPr>
        <w:tab/>
        <w:t>Sachbearbeiterin FD 10 Organisation, IT &amp; Personal</w:t>
      </w:r>
    </w:p>
    <w:p w:rsidR="005D34AE" w:rsidRPr="007276CB" w:rsidRDefault="005D34AE" w:rsidP="009439AB">
      <w:pPr>
        <w:spacing w:after="120" w:line="240" w:lineRule="auto"/>
        <w:rPr>
          <w:sz w:val="24"/>
          <w:szCs w:val="24"/>
        </w:rPr>
      </w:pPr>
      <w:r>
        <w:rPr>
          <w:sz w:val="24"/>
          <w:szCs w:val="24"/>
        </w:rPr>
        <w:t>Susanne Pech</w:t>
      </w:r>
      <w:r>
        <w:rPr>
          <w:sz w:val="24"/>
          <w:szCs w:val="24"/>
        </w:rPr>
        <w:tab/>
      </w:r>
      <w:r>
        <w:rPr>
          <w:sz w:val="24"/>
          <w:szCs w:val="24"/>
        </w:rPr>
        <w:tab/>
        <w:t>Fachadministratorin</w:t>
      </w:r>
      <w:r w:rsidR="00FB15B3">
        <w:rPr>
          <w:sz w:val="24"/>
          <w:szCs w:val="24"/>
        </w:rPr>
        <w:t xml:space="preserve"> FD 56</w:t>
      </w:r>
    </w:p>
    <w:p w:rsidR="009439AB" w:rsidRPr="007276CB" w:rsidRDefault="007276CB" w:rsidP="007276CB">
      <w:pPr>
        <w:spacing w:after="120" w:line="240" w:lineRule="auto"/>
        <w:ind w:left="2832" w:hanging="2832"/>
        <w:rPr>
          <w:sz w:val="24"/>
          <w:szCs w:val="24"/>
        </w:rPr>
      </w:pPr>
      <w:r w:rsidRPr="007276CB">
        <w:rPr>
          <w:sz w:val="24"/>
          <w:szCs w:val="24"/>
        </w:rPr>
        <w:t xml:space="preserve">Sven Richter </w:t>
      </w:r>
      <w:r w:rsidR="009439AB" w:rsidRPr="007276CB">
        <w:rPr>
          <w:sz w:val="24"/>
          <w:szCs w:val="24"/>
        </w:rPr>
        <w:tab/>
      </w:r>
      <w:r w:rsidRPr="007276CB">
        <w:rPr>
          <w:sz w:val="24"/>
          <w:szCs w:val="24"/>
        </w:rPr>
        <w:t>Fachdienstleiter FD 56 Asyl- und Ausländerangelegenheiten</w:t>
      </w:r>
    </w:p>
    <w:p w:rsidR="009439AB" w:rsidRPr="00292E64" w:rsidRDefault="009439AB" w:rsidP="009439AB">
      <w:pPr>
        <w:spacing w:after="120" w:line="240" w:lineRule="auto"/>
        <w:rPr>
          <w:color w:val="FF0000"/>
          <w:sz w:val="24"/>
          <w:szCs w:val="24"/>
        </w:rPr>
      </w:pPr>
    </w:p>
    <w:p w:rsidR="009439AB" w:rsidRPr="00126866" w:rsidRDefault="009439AB" w:rsidP="009439AB">
      <w:pPr>
        <w:spacing w:after="120" w:line="240" w:lineRule="auto"/>
        <w:rPr>
          <w:sz w:val="24"/>
          <w:szCs w:val="24"/>
        </w:rPr>
      </w:pPr>
    </w:p>
    <w:p w:rsidR="009439AB" w:rsidRPr="00126866"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Default="009439AB" w:rsidP="009439AB">
      <w:pPr>
        <w:spacing w:after="120" w:line="240" w:lineRule="auto"/>
        <w:rPr>
          <w:sz w:val="24"/>
          <w:szCs w:val="24"/>
        </w:rPr>
      </w:pPr>
    </w:p>
    <w:p w:rsidR="009439AB" w:rsidRPr="00126866" w:rsidRDefault="009439AB" w:rsidP="009439AB">
      <w:pPr>
        <w:spacing w:after="120" w:line="240" w:lineRule="auto"/>
        <w:rPr>
          <w:sz w:val="24"/>
          <w:szCs w:val="24"/>
        </w:rPr>
      </w:pPr>
    </w:p>
    <w:p w:rsidR="009439AB" w:rsidRPr="00126866" w:rsidRDefault="009439AB" w:rsidP="009439AB">
      <w:pPr>
        <w:spacing w:after="120" w:line="240" w:lineRule="auto"/>
        <w:rPr>
          <w:sz w:val="24"/>
          <w:szCs w:val="24"/>
        </w:rPr>
      </w:pPr>
      <w:r w:rsidRPr="00126866">
        <w:rPr>
          <w:b/>
          <w:sz w:val="24"/>
          <w:szCs w:val="24"/>
        </w:rPr>
        <w:t xml:space="preserve">Stand </w:t>
      </w:r>
      <w:r w:rsidRPr="00126866">
        <w:rPr>
          <w:sz w:val="24"/>
          <w:szCs w:val="24"/>
        </w:rPr>
        <w:t xml:space="preserve"> </w:t>
      </w:r>
      <w:r w:rsidR="00973E9E">
        <w:rPr>
          <w:sz w:val="24"/>
          <w:szCs w:val="24"/>
        </w:rPr>
        <w:t>3</w:t>
      </w:r>
      <w:r>
        <w:rPr>
          <w:sz w:val="24"/>
          <w:szCs w:val="24"/>
        </w:rPr>
        <w:t>1</w:t>
      </w:r>
      <w:r w:rsidRPr="00126866">
        <w:rPr>
          <w:sz w:val="24"/>
          <w:szCs w:val="24"/>
        </w:rPr>
        <w:t xml:space="preserve">. </w:t>
      </w:r>
      <w:r w:rsidR="00973E9E">
        <w:rPr>
          <w:sz w:val="24"/>
          <w:szCs w:val="24"/>
        </w:rPr>
        <w:t>Dezember</w:t>
      </w:r>
      <w:r>
        <w:rPr>
          <w:sz w:val="24"/>
          <w:szCs w:val="24"/>
        </w:rPr>
        <w:t xml:space="preserve"> 2016</w:t>
      </w:r>
    </w:p>
    <w:p w:rsidR="009439AB" w:rsidRPr="00126866" w:rsidRDefault="009439AB" w:rsidP="009439AB">
      <w:pPr>
        <w:spacing w:after="120" w:line="240" w:lineRule="auto"/>
        <w:rPr>
          <w:sz w:val="24"/>
          <w:szCs w:val="24"/>
        </w:rPr>
      </w:pPr>
    </w:p>
    <w:p w:rsidR="009439AB" w:rsidRPr="00126866" w:rsidRDefault="009439AB" w:rsidP="009439AB">
      <w:pPr>
        <w:spacing w:after="120" w:line="240" w:lineRule="auto"/>
        <w:rPr>
          <w:sz w:val="24"/>
          <w:szCs w:val="24"/>
        </w:rPr>
      </w:pPr>
    </w:p>
    <w:p w:rsidR="009439AB" w:rsidRPr="00126866" w:rsidRDefault="009439AB" w:rsidP="009439AB">
      <w:pPr>
        <w:spacing w:after="120" w:line="240" w:lineRule="auto"/>
        <w:rPr>
          <w:sz w:val="24"/>
          <w:szCs w:val="24"/>
        </w:rPr>
      </w:pPr>
    </w:p>
    <w:p w:rsidR="009439AB" w:rsidRPr="00126866" w:rsidRDefault="009439AB" w:rsidP="009439AB">
      <w:pPr>
        <w:spacing w:after="120" w:line="240" w:lineRule="auto"/>
        <w:rPr>
          <w:b/>
          <w:sz w:val="24"/>
          <w:szCs w:val="24"/>
        </w:rPr>
      </w:pPr>
      <w:r w:rsidRPr="00126866">
        <w:rPr>
          <w:b/>
          <w:sz w:val="24"/>
          <w:szCs w:val="24"/>
        </w:rPr>
        <w:t>Vorbemerkung</w:t>
      </w:r>
    </w:p>
    <w:p w:rsidR="009439AB" w:rsidRPr="00126866" w:rsidRDefault="009439AB" w:rsidP="001322FC">
      <w:pPr>
        <w:spacing w:after="120"/>
        <w:jc w:val="both"/>
        <w:rPr>
          <w:sz w:val="24"/>
          <w:szCs w:val="24"/>
        </w:rPr>
      </w:pPr>
      <w:r w:rsidRPr="00126866">
        <w:rPr>
          <w:sz w:val="24"/>
          <w:szCs w:val="24"/>
        </w:rPr>
        <w:t>Aus Gründen der besseren Lesbarkeit wird auf die gleichzeitige Verwendung männlicher und weiblicher Sprachformen verzichtet. Sämtliche Personenbezeichnungen gelten gleichwohl für beiderlei Geschlecht.</w:t>
      </w:r>
    </w:p>
    <w:p w:rsidR="009439AB" w:rsidRPr="00126866" w:rsidRDefault="009439AB" w:rsidP="009439AB">
      <w:pPr>
        <w:spacing w:after="120" w:line="240" w:lineRule="auto"/>
        <w:rPr>
          <w:sz w:val="24"/>
          <w:szCs w:val="24"/>
        </w:rPr>
      </w:pPr>
      <w:r w:rsidRPr="00126866">
        <w:rPr>
          <w:sz w:val="24"/>
          <w:szCs w:val="24"/>
        </w:rPr>
        <w:br w:type="page"/>
      </w:r>
    </w:p>
    <w:p w:rsidR="009439AB" w:rsidRPr="0024422B" w:rsidRDefault="009439AB" w:rsidP="009439AB">
      <w:pPr>
        <w:spacing w:after="120" w:line="240" w:lineRule="auto"/>
        <w:rPr>
          <w:sz w:val="24"/>
          <w:szCs w:val="24"/>
        </w:rPr>
      </w:pPr>
    </w:p>
    <w:sdt>
      <w:sdtPr>
        <w:rPr>
          <w:rFonts w:ascii="Arial" w:eastAsiaTheme="minorHAnsi" w:hAnsi="Arial" w:cstheme="minorBidi"/>
          <w:b w:val="0"/>
          <w:bCs w:val="0"/>
          <w:color w:val="auto"/>
          <w:sz w:val="24"/>
          <w:szCs w:val="24"/>
          <w:lang w:eastAsia="en-US"/>
        </w:rPr>
        <w:id w:val="-274557718"/>
        <w:docPartObj>
          <w:docPartGallery w:val="Table of Contents"/>
          <w:docPartUnique/>
        </w:docPartObj>
      </w:sdtPr>
      <w:sdtEndPr/>
      <w:sdtContent>
        <w:p w:rsidR="009439AB" w:rsidRPr="00FB4713" w:rsidRDefault="009439AB" w:rsidP="009439AB">
          <w:pPr>
            <w:pStyle w:val="Inhaltsverzeichnisberschrift"/>
            <w:rPr>
              <w:rFonts w:ascii="Arial" w:hAnsi="Arial" w:cs="Arial"/>
              <w:color w:val="auto"/>
              <w:sz w:val="24"/>
              <w:szCs w:val="24"/>
            </w:rPr>
          </w:pPr>
          <w:r w:rsidRPr="00FB4713">
            <w:rPr>
              <w:rFonts w:ascii="Arial" w:hAnsi="Arial" w:cs="Arial"/>
              <w:color w:val="auto"/>
              <w:sz w:val="24"/>
              <w:szCs w:val="24"/>
            </w:rPr>
            <w:t>Inhaltsverzeichnis</w:t>
          </w:r>
        </w:p>
        <w:p w:rsidR="009439AB" w:rsidRPr="00FB4713" w:rsidRDefault="009439AB" w:rsidP="009439AB">
          <w:pPr>
            <w:rPr>
              <w:b/>
              <w:sz w:val="24"/>
              <w:szCs w:val="24"/>
              <w:lang w:eastAsia="de-DE"/>
            </w:rPr>
          </w:pPr>
        </w:p>
        <w:p w:rsidR="007276CB" w:rsidRPr="00FB4713" w:rsidRDefault="009439AB">
          <w:pPr>
            <w:pStyle w:val="Verzeichnis1"/>
            <w:rPr>
              <w:rFonts w:asciiTheme="minorHAnsi" w:eastAsiaTheme="minorEastAsia" w:hAnsiTheme="minorHAnsi"/>
              <w:b/>
              <w:noProof/>
              <w:sz w:val="24"/>
              <w:szCs w:val="24"/>
              <w:lang w:eastAsia="de-DE"/>
            </w:rPr>
          </w:pPr>
          <w:r w:rsidRPr="00FB4713">
            <w:rPr>
              <w:rFonts w:cs="Arial"/>
              <w:b/>
              <w:sz w:val="24"/>
              <w:szCs w:val="24"/>
            </w:rPr>
            <w:fldChar w:fldCharType="begin"/>
          </w:r>
          <w:r w:rsidRPr="00FB4713">
            <w:rPr>
              <w:rFonts w:cs="Arial"/>
              <w:b/>
              <w:sz w:val="24"/>
              <w:szCs w:val="24"/>
            </w:rPr>
            <w:instrText xml:space="preserve"> TOC \o "1-3" \h \z \u </w:instrText>
          </w:r>
          <w:r w:rsidRPr="00FB4713">
            <w:rPr>
              <w:rFonts w:cs="Arial"/>
              <w:b/>
              <w:sz w:val="24"/>
              <w:szCs w:val="24"/>
            </w:rPr>
            <w:fldChar w:fldCharType="separate"/>
          </w:r>
          <w:hyperlink w:anchor="_Toc487549776" w:history="1">
            <w:r w:rsidR="007276CB" w:rsidRPr="00FB4713">
              <w:rPr>
                <w:rStyle w:val="Hyperlink"/>
                <w:b/>
                <w:noProof/>
                <w:sz w:val="24"/>
                <w:szCs w:val="24"/>
              </w:rPr>
              <w:t>1.</w:t>
            </w:r>
            <w:r w:rsidR="007276CB" w:rsidRPr="00FB4713">
              <w:rPr>
                <w:rFonts w:asciiTheme="minorHAnsi" w:eastAsiaTheme="minorEastAsia" w:hAnsiTheme="minorHAnsi"/>
                <w:b/>
                <w:noProof/>
                <w:sz w:val="24"/>
                <w:szCs w:val="24"/>
                <w:lang w:eastAsia="de-DE"/>
              </w:rPr>
              <w:tab/>
            </w:r>
            <w:r w:rsidR="007276CB" w:rsidRPr="00FB4713">
              <w:rPr>
                <w:rStyle w:val="Hyperlink"/>
                <w:b/>
                <w:noProof/>
                <w:sz w:val="24"/>
                <w:szCs w:val="24"/>
              </w:rPr>
              <w:t>Ist-Analyse der Unterbringung 2015 und 2016</w:t>
            </w:r>
            <w:r w:rsidR="007276CB" w:rsidRPr="00FB4713">
              <w:rPr>
                <w:b/>
                <w:noProof/>
                <w:webHidden/>
                <w:sz w:val="24"/>
                <w:szCs w:val="24"/>
              </w:rPr>
              <w:tab/>
            </w:r>
            <w:r w:rsidR="007276CB" w:rsidRPr="00FB4713">
              <w:rPr>
                <w:b/>
                <w:noProof/>
                <w:webHidden/>
                <w:sz w:val="24"/>
                <w:szCs w:val="24"/>
              </w:rPr>
              <w:fldChar w:fldCharType="begin"/>
            </w:r>
            <w:r w:rsidR="007276CB" w:rsidRPr="00FB4713">
              <w:rPr>
                <w:b/>
                <w:noProof/>
                <w:webHidden/>
                <w:sz w:val="24"/>
                <w:szCs w:val="24"/>
              </w:rPr>
              <w:instrText xml:space="preserve"> PAGEREF _Toc487549776 \h </w:instrText>
            </w:r>
            <w:r w:rsidR="007276CB" w:rsidRPr="00FB4713">
              <w:rPr>
                <w:b/>
                <w:noProof/>
                <w:webHidden/>
                <w:sz w:val="24"/>
                <w:szCs w:val="24"/>
              </w:rPr>
            </w:r>
            <w:r w:rsidR="007276CB" w:rsidRPr="00FB4713">
              <w:rPr>
                <w:b/>
                <w:noProof/>
                <w:webHidden/>
                <w:sz w:val="24"/>
                <w:szCs w:val="24"/>
              </w:rPr>
              <w:fldChar w:fldCharType="separate"/>
            </w:r>
            <w:r w:rsidR="001322FC">
              <w:rPr>
                <w:b/>
                <w:noProof/>
                <w:webHidden/>
                <w:sz w:val="24"/>
                <w:szCs w:val="24"/>
              </w:rPr>
              <w:t>4</w:t>
            </w:r>
            <w:r w:rsidR="007276CB" w:rsidRPr="00FB4713">
              <w:rPr>
                <w:b/>
                <w:noProof/>
                <w:webHidden/>
                <w:sz w:val="24"/>
                <w:szCs w:val="24"/>
              </w:rPr>
              <w:fldChar w:fldCharType="end"/>
            </w:r>
          </w:hyperlink>
        </w:p>
        <w:p w:rsidR="007276CB" w:rsidRPr="00FB4713" w:rsidRDefault="00B43230">
          <w:pPr>
            <w:pStyle w:val="Verzeichnis1"/>
            <w:rPr>
              <w:rFonts w:asciiTheme="minorHAnsi" w:eastAsiaTheme="minorEastAsia" w:hAnsiTheme="minorHAnsi"/>
              <w:b/>
              <w:noProof/>
              <w:sz w:val="24"/>
              <w:szCs w:val="24"/>
              <w:lang w:eastAsia="de-DE"/>
            </w:rPr>
          </w:pPr>
          <w:hyperlink w:anchor="_Toc487549777" w:history="1">
            <w:r w:rsidR="007276CB" w:rsidRPr="00FB4713">
              <w:rPr>
                <w:rStyle w:val="Hyperlink"/>
                <w:b/>
                <w:noProof/>
                <w:sz w:val="24"/>
                <w:szCs w:val="24"/>
              </w:rPr>
              <w:t>2.</w:t>
            </w:r>
            <w:r w:rsidR="007276CB" w:rsidRPr="00FB4713">
              <w:rPr>
                <w:rFonts w:asciiTheme="minorHAnsi" w:eastAsiaTheme="minorEastAsia" w:hAnsiTheme="minorHAnsi"/>
                <w:b/>
                <w:noProof/>
                <w:sz w:val="24"/>
                <w:szCs w:val="24"/>
                <w:lang w:eastAsia="de-DE"/>
              </w:rPr>
              <w:tab/>
            </w:r>
            <w:r w:rsidR="007276CB" w:rsidRPr="00FB4713">
              <w:rPr>
                <w:rStyle w:val="Hyperlink"/>
                <w:b/>
                <w:noProof/>
                <w:sz w:val="24"/>
                <w:szCs w:val="24"/>
              </w:rPr>
              <w:t>Ist-Analyse der Kosten 2015 und 2016</w:t>
            </w:r>
            <w:r w:rsidR="007276CB" w:rsidRPr="00FB4713">
              <w:rPr>
                <w:b/>
                <w:noProof/>
                <w:webHidden/>
                <w:sz w:val="24"/>
                <w:szCs w:val="24"/>
              </w:rPr>
              <w:tab/>
            </w:r>
            <w:r w:rsidR="007276CB" w:rsidRPr="00FB4713">
              <w:rPr>
                <w:b/>
                <w:noProof/>
                <w:webHidden/>
                <w:sz w:val="24"/>
                <w:szCs w:val="24"/>
              </w:rPr>
              <w:fldChar w:fldCharType="begin"/>
            </w:r>
            <w:r w:rsidR="007276CB" w:rsidRPr="00FB4713">
              <w:rPr>
                <w:b/>
                <w:noProof/>
                <w:webHidden/>
                <w:sz w:val="24"/>
                <w:szCs w:val="24"/>
              </w:rPr>
              <w:instrText xml:space="preserve"> PAGEREF _Toc487549777 \h </w:instrText>
            </w:r>
            <w:r w:rsidR="007276CB" w:rsidRPr="00FB4713">
              <w:rPr>
                <w:b/>
                <w:noProof/>
                <w:webHidden/>
                <w:sz w:val="24"/>
                <w:szCs w:val="24"/>
              </w:rPr>
            </w:r>
            <w:r w:rsidR="007276CB" w:rsidRPr="00FB4713">
              <w:rPr>
                <w:b/>
                <w:noProof/>
                <w:webHidden/>
                <w:sz w:val="24"/>
                <w:szCs w:val="24"/>
              </w:rPr>
              <w:fldChar w:fldCharType="separate"/>
            </w:r>
            <w:r w:rsidR="001322FC">
              <w:rPr>
                <w:b/>
                <w:noProof/>
                <w:webHidden/>
                <w:sz w:val="24"/>
                <w:szCs w:val="24"/>
              </w:rPr>
              <w:t>8</w:t>
            </w:r>
            <w:r w:rsidR="007276CB" w:rsidRPr="00FB4713">
              <w:rPr>
                <w:b/>
                <w:noProof/>
                <w:webHidden/>
                <w:sz w:val="24"/>
                <w:szCs w:val="24"/>
              </w:rPr>
              <w:fldChar w:fldCharType="end"/>
            </w:r>
          </w:hyperlink>
        </w:p>
        <w:p w:rsidR="007276CB" w:rsidRPr="00FB4713" w:rsidRDefault="00B43230">
          <w:pPr>
            <w:pStyle w:val="Verzeichnis1"/>
            <w:rPr>
              <w:rFonts w:asciiTheme="minorHAnsi" w:eastAsiaTheme="minorEastAsia" w:hAnsiTheme="minorHAnsi"/>
              <w:b/>
              <w:noProof/>
              <w:sz w:val="24"/>
              <w:szCs w:val="24"/>
              <w:lang w:eastAsia="de-DE"/>
            </w:rPr>
          </w:pPr>
          <w:hyperlink w:anchor="_Toc487549778" w:history="1">
            <w:r w:rsidR="007276CB" w:rsidRPr="00FB4713">
              <w:rPr>
                <w:rStyle w:val="Hyperlink"/>
                <w:b/>
                <w:noProof/>
                <w:sz w:val="24"/>
                <w:szCs w:val="24"/>
              </w:rPr>
              <w:t>3.</w:t>
            </w:r>
            <w:r w:rsidR="007276CB" w:rsidRPr="00FB4713">
              <w:rPr>
                <w:rFonts w:asciiTheme="minorHAnsi" w:eastAsiaTheme="minorEastAsia" w:hAnsiTheme="minorHAnsi"/>
                <w:b/>
                <w:noProof/>
                <w:sz w:val="24"/>
                <w:szCs w:val="24"/>
                <w:lang w:eastAsia="de-DE"/>
              </w:rPr>
              <w:tab/>
            </w:r>
            <w:r w:rsidR="007276CB" w:rsidRPr="00FB4713">
              <w:rPr>
                <w:rStyle w:val="Hyperlink"/>
                <w:b/>
                <w:noProof/>
                <w:sz w:val="24"/>
                <w:szCs w:val="24"/>
              </w:rPr>
              <w:t>Maßnahmen zur Kostensenkung</w:t>
            </w:r>
            <w:r w:rsidR="007276CB" w:rsidRPr="00FB4713">
              <w:rPr>
                <w:b/>
                <w:noProof/>
                <w:webHidden/>
                <w:sz w:val="24"/>
                <w:szCs w:val="24"/>
              </w:rPr>
              <w:tab/>
            </w:r>
            <w:r w:rsidR="007276CB" w:rsidRPr="00FB4713">
              <w:rPr>
                <w:b/>
                <w:noProof/>
                <w:webHidden/>
                <w:sz w:val="24"/>
                <w:szCs w:val="24"/>
              </w:rPr>
              <w:fldChar w:fldCharType="begin"/>
            </w:r>
            <w:r w:rsidR="007276CB" w:rsidRPr="00FB4713">
              <w:rPr>
                <w:b/>
                <w:noProof/>
                <w:webHidden/>
                <w:sz w:val="24"/>
                <w:szCs w:val="24"/>
              </w:rPr>
              <w:instrText xml:space="preserve"> PAGEREF _Toc487549778 \h </w:instrText>
            </w:r>
            <w:r w:rsidR="007276CB" w:rsidRPr="00FB4713">
              <w:rPr>
                <w:b/>
                <w:noProof/>
                <w:webHidden/>
                <w:sz w:val="24"/>
                <w:szCs w:val="24"/>
              </w:rPr>
            </w:r>
            <w:r w:rsidR="007276CB" w:rsidRPr="00FB4713">
              <w:rPr>
                <w:b/>
                <w:noProof/>
                <w:webHidden/>
                <w:sz w:val="24"/>
                <w:szCs w:val="24"/>
              </w:rPr>
              <w:fldChar w:fldCharType="separate"/>
            </w:r>
            <w:r w:rsidR="001322FC">
              <w:rPr>
                <w:b/>
                <w:noProof/>
                <w:webHidden/>
                <w:sz w:val="24"/>
                <w:szCs w:val="24"/>
              </w:rPr>
              <w:t>17</w:t>
            </w:r>
            <w:r w:rsidR="007276CB" w:rsidRPr="00FB4713">
              <w:rPr>
                <w:b/>
                <w:noProof/>
                <w:webHidden/>
                <w:sz w:val="24"/>
                <w:szCs w:val="24"/>
              </w:rPr>
              <w:fldChar w:fldCharType="end"/>
            </w:r>
          </w:hyperlink>
        </w:p>
        <w:p w:rsidR="007276CB" w:rsidRPr="00FB4713" w:rsidRDefault="00B43230">
          <w:pPr>
            <w:pStyle w:val="Verzeichnis1"/>
            <w:rPr>
              <w:b/>
              <w:noProof/>
              <w:sz w:val="24"/>
              <w:szCs w:val="24"/>
            </w:rPr>
          </w:pPr>
          <w:hyperlink w:anchor="_Toc487549779" w:history="1">
            <w:r w:rsidR="007276CB" w:rsidRPr="00FB4713">
              <w:rPr>
                <w:rStyle w:val="Hyperlink"/>
                <w:b/>
                <w:noProof/>
                <w:sz w:val="24"/>
                <w:szCs w:val="24"/>
              </w:rPr>
              <w:t>4.</w:t>
            </w:r>
            <w:r w:rsidR="007276CB" w:rsidRPr="00FB4713">
              <w:rPr>
                <w:rFonts w:asciiTheme="minorHAnsi" w:eastAsiaTheme="minorEastAsia" w:hAnsiTheme="minorHAnsi"/>
                <w:b/>
                <w:noProof/>
                <w:sz w:val="24"/>
                <w:szCs w:val="24"/>
                <w:lang w:eastAsia="de-DE"/>
              </w:rPr>
              <w:tab/>
            </w:r>
            <w:r w:rsidR="00FB4713">
              <w:rPr>
                <w:rStyle w:val="Hyperlink"/>
                <w:b/>
                <w:noProof/>
                <w:sz w:val="24"/>
                <w:szCs w:val="24"/>
              </w:rPr>
              <w:t>Fazit …</w:t>
            </w:r>
            <w:r w:rsidR="007276CB" w:rsidRPr="00FB4713">
              <w:rPr>
                <w:b/>
                <w:noProof/>
                <w:webHidden/>
                <w:sz w:val="24"/>
                <w:szCs w:val="24"/>
              </w:rPr>
              <w:tab/>
            </w:r>
            <w:r w:rsidR="007276CB" w:rsidRPr="00FB4713">
              <w:rPr>
                <w:b/>
                <w:noProof/>
                <w:webHidden/>
                <w:sz w:val="24"/>
                <w:szCs w:val="24"/>
              </w:rPr>
              <w:fldChar w:fldCharType="begin"/>
            </w:r>
            <w:r w:rsidR="007276CB" w:rsidRPr="00FB4713">
              <w:rPr>
                <w:b/>
                <w:noProof/>
                <w:webHidden/>
                <w:sz w:val="24"/>
                <w:szCs w:val="24"/>
              </w:rPr>
              <w:instrText xml:space="preserve"> PAGEREF _Toc487549779 \h </w:instrText>
            </w:r>
            <w:r w:rsidR="007276CB" w:rsidRPr="00FB4713">
              <w:rPr>
                <w:b/>
                <w:noProof/>
                <w:webHidden/>
                <w:sz w:val="24"/>
                <w:szCs w:val="24"/>
              </w:rPr>
            </w:r>
            <w:r w:rsidR="007276CB" w:rsidRPr="00FB4713">
              <w:rPr>
                <w:b/>
                <w:noProof/>
                <w:webHidden/>
                <w:sz w:val="24"/>
                <w:szCs w:val="24"/>
              </w:rPr>
              <w:fldChar w:fldCharType="separate"/>
            </w:r>
            <w:r w:rsidR="001322FC">
              <w:rPr>
                <w:b/>
                <w:noProof/>
                <w:webHidden/>
                <w:sz w:val="24"/>
                <w:szCs w:val="24"/>
              </w:rPr>
              <w:t>20</w:t>
            </w:r>
            <w:r w:rsidR="007276CB" w:rsidRPr="00FB4713">
              <w:rPr>
                <w:b/>
                <w:noProof/>
                <w:webHidden/>
                <w:sz w:val="24"/>
                <w:szCs w:val="24"/>
              </w:rPr>
              <w:fldChar w:fldCharType="end"/>
            </w:r>
          </w:hyperlink>
        </w:p>
        <w:p w:rsidR="00FB4713" w:rsidRPr="00FB4713" w:rsidRDefault="00FB4713" w:rsidP="00FB4713">
          <w:pPr>
            <w:rPr>
              <w:b/>
              <w:sz w:val="24"/>
              <w:szCs w:val="24"/>
            </w:rPr>
          </w:pPr>
          <w:r w:rsidRPr="00FB4713">
            <w:rPr>
              <w:b/>
              <w:sz w:val="24"/>
              <w:szCs w:val="24"/>
            </w:rPr>
            <w:t xml:space="preserve">5. Tendenzieller </w:t>
          </w:r>
          <w:r>
            <w:rPr>
              <w:b/>
              <w:sz w:val="24"/>
              <w:szCs w:val="24"/>
            </w:rPr>
            <w:t>Ausblick ………….</w:t>
          </w:r>
          <w:r w:rsidRPr="00FB4713">
            <w:rPr>
              <w:b/>
              <w:sz w:val="24"/>
              <w:szCs w:val="24"/>
            </w:rPr>
            <w:t>……………………………………………………21</w:t>
          </w:r>
        </w:p>
        <w:p w:rsidR="009439AB" w:rsidRPr="00530262" w:rsidRDefault="009439AB" w:rsidP="009439AB">
          <w:pPr>
            <w:rPr>
              <w:sz w:val="24"/>
              <w:szCs w:val="24"/>
            </w:rPr>
          </w:pPr>
          <w:r w:rsidRPr="00FB4713">
            <w:rPr>
              <w:rFonts w:cs="Arial"/>
              <w:b/>
              <w:bCs/>
              <w:sz w:val="24"/>
              <w:szCs w:val="24"/>
            </w:rPr>
            <w:fldChar w:fldCharType="end"/>
          </w:r>
        </w:p>
      </w:sdtContent>
    </w:sdt>
    <w:p w:rsidR="009439AB" w:rsidRDefault="009439AB" w:rsidP="009439AB">
      <w:pPr>
        <w:spacing w:after="0" w:line="240" w:lineRule="auto"/>
        <w:rPr>
          <w:sz w:val="24"/>
          <w:szCs w:val="24"/>
        </w:rPr>
      </w:pPr>
    </w:p>
    <w:p w:rsidR="009439AB" w:rsidRDefault="009439AB" w:rsidP="009439AB">
      <w:pPr>
        <w:spacing w:after="0" w:line="240" w:lineRule="auto"/>
        <w:rPr>
          <w:sz w:val="24"/>
          <w:szCs w:val="24"/>
        </w:rPr>
      </w:pPr>
    </w:p>
    <w:p w:rsidR="009439AB" w:rsidRPr="00F979FC" w:rsidRDefault="009439AB" w:rsidP="009439AB">
      <w:pPr>
        <w:spacing w:after="0" w:line="240" w:lineRule="auto"/>
        <w:rPr>
          <w:b/>
          <w:sz w:val="24"/>
          <w:szCs w:val="24"/>
        </w:rPr>
      </w:pPr>
      <w:r w:rsidRPr="00F979FC">
        <w:rPr>
          <w:b/>
          <w:sz w:val="24"/>
          <w:szCs w:val="24"/>
        </w:rPr>
        <w:t>Abkürzungsverzeichnis/Definitionen</w:t>
      </w:r>
    </w:p>
    <w:p w:rsidR="009439AB" w:rsidRDefault="009439AB" w:rsidP="009439AB">
      <w:pPr>
        <w:spacing w:after="0" w:line="240" w:lineRule="auto"/>
        <w:rPr>
          <w:sz w:val="24"/>
          <w:szCs w:val="24"/>
        </w:rPr>
      </w:pPr>
    </w:p>
    <w:p w:rsidR="009439AB" w:rsidRPr="007C4E66" w:rsidRDefault="009439AB" w:rsidP="001322FC">
      <w:pPr>
        <w:spacing w:after="0"/>
        <w:jc w:val="both"/>
        <w:rPr>
          <w:sz w:val="24"/>
          <w:szCs w:val="24"/>
        </w:rPr>
      </w:pPr>
      <w:r w:rsidRPr="007C4E66">
        <w:rPr>
          <w:sz w:val="24"/>
          <w:szCs w:val="24"/>
        </w:rPr>
        <w:t>AsylbLG</w:t>
      </w:r>
      <w:r w:rsidRPr="007C4E66">
        <w:rPr>
          <w:sz w:val="24"/>
          <w:szCs w:val="24"/>
        </w:rPr>
        <w:tab/>
      </w:r>
      <w:r w:rsidRPr="007C4E66">
        <w:rPr>
          <w:sz w:val="24"/>
          <w:szCs w:val="24"/>
        </w:rPr>
        <w:tab/>
        <w:t>- Asylbewerberleistungsgesetz</w:t>
      </w:r>
    </w:p>
    <w:p w:rsidR="009439AB" w:rsidRPr="007C4E66" w:rsidRDefault="009439AB" w:rsidP="001322FC">
      <w:pPr>
        <w:spacing w:after="0"/>
        <w:jc w:val="both"/>
        <w:rPr>
          <w:rFonts w:cs="Arial"/>
          <w:sz w:val="24"/>
          <w:szCs w:val="24"/>
          <w:lang w:eastAsia="de-DE"/>
        </w:rPr>
      </w:pPr>
      <w:r w:rsidRPr="007C4E66">
        <w:rPr>
          <w:rFonts w:cs="Arial"/>
          <w:sz w:val="24"/>
          <w:szCs w:val="24"/>
          <w:lang w:eastAsia="de-DE"/>
        </w:rPr>
        <w:t>AsylVfG</w:t>
      </w:r>
      <w:r w:rsidRPr="007C4E66">
        <w:rPr>
          <w:rFonts w:cs="Arial"/>
          <w:sz w:val="24"/>
          <w:szCs w:val="24"/>
          <w:lang w:eastAsia="de-DE"/>
        </w:rPr>
        <w:tab/>
      </w:r>
      <w:r w:rsidRPr="007C4E66">
        <w:rPr>
          <w:rFonts w:cs="Arial"/>
          <w:sz w:val="24"/>
          <w:szCs w:val="24"/>
          <w:lang w:eastAsia="de-DE"/>
        </w:rPr>
        <w:tab/>
        <w:t>- Asylverfahrensgesetz</w:t>
      </w:r>
    </w:p>
    <w:p w:rsidR="009439AB" w:rsidRDefault="009439AB" w:rsidP="001322FC">
      <w:pPr>
        <w:spacing w:after="0"/>
        <w:ind w:left="2130" w:hanging="2130"/>
        <w:jc w:val="both"/>
        <w:rPr>
          <w:sz w:val="24"/>
          <w:szCs w:val="24"/>
        </w:rPr>
      </w:pPr>
      <w:r w:rsidRPr="007C4E66">
        <w:rPr>
          <w:rFonts w:cs="Arial"/>
          <w:sz w:val="24"/>
          <w:szCs w:val="24"/>
          <w:lang w:eastAsia="de-DE"/>
        </w:rPr>
        <w:t>AufnahmeRL</w:t>
      </w:r>
      <w:r w:rsidRPr="007C4E66">
        <w:rPr>
          <w:rFonts w:cs="Arial"/>
          <w:sz w:val="24"/>
          <w:szCs w:val="24"/>
          <w:lang w:eastAsia="de-DE"/>
        </w:rPr>
        <w:tab/>
        <w:t xml:space="preserve">- </w:t>
      </w:r>
      <w:r w:rsidRPr="007C4E66">
        <w:rPr>
          <w:sz w:val="24"/>
          <w:szCs w:val="24"/>
        </w:rPr>
        <w:t xml:space="preserve">Richtlinie 2013/33 EU des Europäischen Parlaments und des </w:t>
      </w:r>
    </w:p>
    <w:p w:rsidR="009439AB" w:rsidRPr="007C4E66" w:rsidRDefault="009439AB" w:rsidP="001322FC">
      <w:pPr>
        <w:spacing w:after="0"/>
        <w:ind w:left="2130" w:hanging="6"/>
        <w:jc w:val="both"/>
        <w:rPr>
          <w:sz w:val="24"/>
          <w:szCs w:val="24"/>
        </w:rPr>
      </w:pPr>
      <w:r>
        <w:rPr>
          <w:sz w:val="24"/>
          <w:szCs w:val="24"/>
        </w:rPr>
        <w:t xml:space="preserve">  </w:t>
      </w:r>
      <w:r w:rsidRPr="007C4E66">
        <w:rPr>
          <w:sz w:val="24"/>
          <w:szCs w:val="24"/>
        </w:rPr>
        <w:t>Rates</w:t>
      </w:r>
    </w:p>
    <w:p w:rsidR="009439AB" w:rsidRPr="007C4E66" w:rsidRDefault="009439AB" w:rsidP="001322FC">
      <w:pPr>
        <w:spacing w:after="0"/>
        <w:jc w:val="both"/>
        <w:rPr>
          <w:sz w:val="24"/>
          <w:szCs w:val="24"/>
        </w:rPr>
      </w:pPr>
      <w:r w:rsidRPr="007C4E66">
        <w:rPr>
          <w:sz w:val="24"/>
          <w:szCs w:val="24"/>
        </w:rPr>
        <w:t>AufnG LSA</w:t>
      </w:r>
      <w:r w:rsidRPr="007C4E66">
        <w:rPr>
          <w:sz w:val="24"/>
          <w:szCs w:val="24"/>
        </w:rPr>
        <w:tab/>
      </w:r>
      <w:r w:rsidRPr="007C4E66">
        <w:rPr>
          <w:sz w:val="24"/>
          <w:szCs w:val="24"/>
        </w:rPr>
        <w:tab/>
        <w:t>- Aufnahmegesetz des Landes Sachsen-Anhalt</w:t>
      </w:r>
    </w:p>
    <w:p w:rsidR="009439AB" w:rsidRPr="007C4E66" w:rsidRDefault="009439AB" w:rsidP="001322FC">
      <w:pPr>
        <w:spacing w:after="0"/>
        <w:jc w:val="both"/>
        <w:rPr>
          <w:sz w:val="24"/>
          <w:szCs w:val="24"/>
        </w:rPr>
      </w:pPr>
      <w:r w:rsidRPr="000035D3">
        <w:rPr>
          <w:sz w:val="24"/>
          <w:szCs w:val="24"/>
        </w:rPr>
        <w:t>FAG LSA</w:t>
      </w:r>
      <w:r w:rsidRPr="000035D3">
        <w:rPr>
          <w:sz w:val="24"/>
          <w:szCs w:val="24"/>
        </w:rPr>
        <w:tab/>
      </w:r>
      <w:r w:rsidRPr="007C4E66">
        <w:rPr>
          <w:sz w:val="24"/>
          <w:szCs w:val="24"/>
        </w:rPr>
        <w:tab/>
        <w:t>- Finanzausgleichsgesetz</w:t>
      </w:r>
    </w:p>
    <w:p w:rsidR="009439AB" w:rsidRPr="007C4E66" w:rsidRDefault="009439AB" w:rsidP="001322FC">
      <w:pPr>
        <w:spacing w:after="0"/>
        <w:jc w:val="both"/>
        <w:rPr>
          <w:sz w:val="24"/>
          <w:szCs w:val="24"/>
        </w:rPr>
      </w:pPr>
      <w:r w:rsidRPr="007C4E66">
        <w:rPr>
          <w:sz w:val="24"/>
          <w:szCs w:val="24"/>
        </w:rPr>
        <w:t>GFK</w:t>
      </w:r>
      <w:r w:rsidRPr="007C4E66">
        <w:rPr>
          <w:sz w:val="24"/>
          <w:szCs w:val="24"/>
        </w:rPr>
        <w:tab/>
      </w:r>
      <w:r w:rsidRPr="007C4E66">
        <w:rPr>
          <w:sz w:val="24"/>
          <w:szCs w:val="24"/>
        </w:rPr>
        <w:tab/>
      </w:r>
      <w:r w:rsidRPr="007C4E66">
        <w:rPr>
          <w:sz w:val="24"/>
          <w:szCs w:val="24"/>
        </w:rPr>
        <w:tab/>
        <w:t>- Genfer Konvention</w:t>
      </w:r>
    </w:p>
    <w:p w:rsidR="009439AB" w:rsidRDefault="009439AB" w:rsidP="001322FC">
      <w:pPr>
        <w:spacing w:after="0"/>
        <w:jc w:val="both"/>
        <w:rPr>
          <w:sz w:val="24"/>
          <w:szCs w:val="24"/>
        </w:rPr>
      </w:pPr>
      <w:r w:rsidRPr="007C4E66">
        <w:rPr>
          <w:sz w:val="24"/>
          <w:szCs w:val="24"/>
        </w:rPr>
        <w:t>GG</w:t>
      </w:r>
      <w:r w:rsidRPr="007C4E66">
        <w:rPr>
          <w:sz w:val="24"/>
          <w:szCs w:val="24"/>
        </w:rPr>
        <w:tab/>
      </w:r>
      <w:r w:rsidRPr="007C4E66">
        <w:rPr>
          <w:sz w:val="24"/>
          <w:szCs w:val="24"/>
        </w:rPr>
        <w:tab/>
      </w:r>
      <w:r w:rsidRPr="007C4E66">
        <w:rPr>
          <w:sz w:val="24"/>
          <w:szCs w:val="24"/>
        </w:rPr>
        <w:tab/>
        <w:t>- Grundgesetz</w:t>
      </w:r>
    </w:p>
    <w:p w:rsidR="009439AB" w:rsidRPr="007C4E66" w:rsidRDefault="009439AB" w:rsidP="001322FC">
      <w:pPr>
        <w:spacing w:after="0"/>
        <w:jc w:val="both"/>
        <w:rPr>
          <w:sz w:val="24"/>
          <w:szCs w:val="24"/>
        </w:rPr>
      </w:pPr>
      <w:r>
        <w:rPr>
          <w:sz w:val="24"/>
          <w:szCs w:val="24"/>
        </w:rPr>
        <w:t>GU</w:t>
      </w:r>
      <w:r>
        <w:rPr>
          <w:sz w:val="24"/>
          <w:szCs w:val="24"/>
        </w:rPr>
        <w:tab/>
      </w:r>
      <w:r>
        <w:rPr>
          <w:sz w:val="24"/>
          <w:szCs w:val="24"/>
        </w:rPr>
        <w:tab/>
      </w:r>
      <w:r>
        <w:rPr>
          <w:sz w:val="24"/>
          <w:szCs w:val="24"/>
        </w:rPr>
        <w:tab/>
        <w:t>- Gemeinschaftsunterkunft</w:t>
      </w:r>
    </w:p>
    <w:p w:rsidR="009439AB" w:rsidRPr="005E39B4" w:rsidRDefault="009439AB" w:rsidP="001322FC">
      <w:pPr>
        <w:spacing w:after="0"/>
        <w:jc w:val="both"/>
        <w:rPr>
          <w:sz w:val="24"/>
          <w:szCs w:val="24"/>
        </w:rPr>
      </w:pPr>
      <w:r w:rsidRPr="005E39B4">
        <w:rPr>
          <w:sz w:val="24"/>
          <w:szCs w:val="24"/>
        </w:rPr>
        <w:t>MI</w:t>
      </w:r>
      <w:r w:rsidRPr="005E39B4">
        <w:rPr>
          <w:sz w:val="24"/>
          <w:szCs w:val="24"/>
        </w:rPr>
        <w:tab/>
      </w:r>
      <w:r w:rsidRPr="005E39B4">
        <w:rPr>
          <w:sz w:val="24"/>
          <w:szCs w:val="24"/>
        </w:rPr>
        <w:tab/>
      </w:r>
      <w:r w:rsidRPr="005E39B4">
        <w:rPr>
          <w:sz w:val="24"/>
          <w:szCs w:val="24"/>
        </w:rPr>
        <w:tab/>
        <w:t>- Ministerium für Inneres und Sport</w:t>
      </w:r>
    </w:p>
    <w:p w:rsidR="009439AB" w:rsidRDefault="009439AB" w:rsidP="001322FC">
      <w:pPr>
        <w:spacing w:after="0"/>
        <w:jc w:val="both"/>
        <w:rPr>
          <w:sz w:val="24"/>
          <w:szCs w:val="24"/>
        </w:rPr>
      </w:pPr>
      <w:r w:rsidRPr="007C4E66">
        <w:rPr>
          <w:sz w:val="24"/>
          <w:szCs w:val="24"/>
        </w:rPr>
        <w:t>RdErl.</w:t>
      </w:r>
      <w:r w:rsidRPr="007C4E66">
        <w:rPr>
          <w:sz w:val="24"/>
          <w:szCs w:val="24"/>
        </w:rPr>
        <w:tab/>
      </w:r>
      <w:r w:rsidRPr="007C4E66">
        <w:rPr>
          <w:sz w:val="24"/>
          <w:szCs w:val="24"/>
        </w:rPr>
        <w:tab/>
      </w:r>
      <w:r w:rsidRPr="007C4E66">
        <w:rPr>
          <w:sz w:val="24"/>
          <w:szCs w:val="24"/>
        </w:rPr>
        <w:tab/>
        <w:t>- Runderlass</w:t>
      </w:r>
    </w:p>
    <w:p w:rsidR="009439AB" w:rsidRPr="007C4E66" w:rsidRDefault="009439AB" w:rsidP="001322FC">
      <w:pPr>
        <w:spacing w:after="0"/>
        <w:jc w:val="both"/>
        <w:rPr>
          <w:sz w:val="24"/>
          <w:szCs w:val="24"/>
        </w:rPr>
      </w:pPr>
      <w:r>
        <w:rPr>
          <w:sz w:val="24"/>
          <w:szCs w:val="24"/>
        </w:rPr>
        <w:t>SAE</w:t>
      </w:r>
      <w:r>
        <w:rPr>
          <w:sz w:val="24"/>
          <w:szCs w:val="24"/>
        </w:rPr>
        <w:tab/>
      </w:r>
      <w:r>
        <w:rPr>
          <w:sz w:val="24"/>
          <w:szCs w:val="24"/>
        </w:rPr>
        <w:tab/>
      </w:r>
      <w:r>
        <w:rPr>
          <w:sz w:val="24"/>
          <w:szCs w:val="24"/>
        </w:rPr>
        <w:tab/>
        <w:t>- Stab außergewöhnliche Ereignisse</w:t>
      </w:r>
    </w:p>
    <w:p w:rsidR="009439AB" w:rsidRPr="007C4E66" w:rsidRDefault="009439AB" w:rsidP="001322FC">
      <w:pPr>
        <w:spacing w:after="0"/>
        <w:jc w:val="both"/>
        <w:rPr>
          <w:sz w:val="24"/>
          <w:szCs w:val="24"/>
        </w:rPr>
      </w:pPr>
      <w:r>
        <w:rPr>
          <w:sz w:val="24"/>
          <w:szCs w:val="24"/>
        </w:rPr>
        <w:t>ZASt</w:t>
      </w:r>
      <w:r>
        <w:rPr>
          <w:sz w:val="24"/>
          <w:szCs w:val="24"/>
        </w:rPr>
        <w:tab/>
      </w:r>
      <w:r>
        <w:rPr>
          <w:sz w:val="24"/>
          <w:szCs w:val="24"/>
        </w:rPr>
        <w:tab/>
      </w:r>
      <w:r>
        <w:rPr>
          <w:sz w:val="24"/>
          <w:szCs w:val="24"/>
        </w:rPr>
        <w:tab/>
        <w:t>- Zentrale Aufnahme</w:t>
      </w:r>
      <w:r w:rsidRPr="007C4E66">
        <w:rPr>
          <w:sz w:val="24"/>
          <w:szCs w:val="24"/>
        </w:rPr>
        <w:t>stelle für Flüchtlinge</w:t>
      </w:r>
    </w:p>
    <w:p w:rsidR="009439AB" w:rsidRPr="0023573C" w:rsidRDefault="009439AB" w:rsidP="001322FC">
      <w:pPr>
        <w:spacing w:after="0"/>
        <w:jc w:val="both"/>
        <w:rPr>
          <w:sz w:val="24"/>
          <w:szCs w:val="24"/>
        </w:rPr>
      </w:pPr>
      <w:r w:rsidRPr="0023573C">
        <w:rPr>
          <w:sz w:val="24"/>
          <w:szCs w:val="24"/>
        </w:rPr>
        <w:t>BAMF</w:t>
      </w:r>
      <w:r w:rsidRPr="0023573C">
        <w:rPr>
          <w:sz w:val="24"/>
          <w:szCs w:val="24"/>
        </w:rPr>
        <w:tab/>
      </w:r>
      <w:r w:rsidRPr="0023573C">
        <w:rPr>
          <w:sz w:val="24"/>
          <w:szCs w:val="24"/>
        </w:rPr>
        <w:tab/>
      </w:r>
      <w:r w:rsidRPr="0023573C">
        <w:rPr>
          <w:sz w:val="24"/>
          <w:szCs w:val="24"/>
        </w:rPr>
        <w:tab/>
        <w:t>- Bundesamt für Migration und Flüchtlinge</w:t>
      </w:r>
    </w:p>
    <w:p w:rsidR="009439AB" w:rsidRPr="0023573C" w:rsidRDefault="009439AB" w:rsidP="001322FC">
      <w:pPr>
        <w:spacing w:after="0"/>
        <w:jc w:val="both"/>
        <w:rPr>
          <w:sz w:val="24"/>
          <w:szCs w:val="24"/>
        </w:rPr>
      </w:pPr>
    </w:p>
    <w:p w:rsidR="009439AB" w:rsidRPr="0023573C" w:rsidRDefault="009439AB" w:rsidP="001322FC">
      <w:pPr>
        <w:spacing w:after="0"/>
        <w:jc w:val="both"/>
        <w:rPr>
          <w:sz w:val="24"/>
          <w:szCs w:val="24"/>
        </w:rPr>
      </w:pPr>
    </w:p>
    <w:p w:rsidR="009439AB" w:rsidRPr="00D356BC" w:rsidRDefault="009439AB" w:rsidP="001322FC">
      <w:pPr>
        <w:spacing w:after="0"/>
        <w:jc w:val="both"/>
        <w:rPr>
          <w:sz w:val="24"/>
          <w:szCs w:val="24"/>
        </w:rPr>
      </w:pPr>
      <w:r w:rsidRPr="0023573C">
        <w:rPr>
          <w:sz w:val="24"/>
          <w:szCs w:val="24"/>
        </w:rPr>
        <w:t xml:space="preserve">Das AufnG LSA definiert in § 1 Abs. 1 Pkt. 5, 6, 7 den </w:t>
      </w:r>
      <w:r w:rsidRPr="0023573C">
        <w:rPr>
          <w:sz w:val="24"/>
          <w:szCs w:val="24"/>
          <w:u w:val="single"/>
        </w:rPr>
        <w:t>Personenkreis nicht dauerhaft aufenthaltsberechtigter Ausländer</w:t>
      </w:r>
      <w:r w:rsidRPr="0023573C">
        <w:rPr>
          <w:sz w:val="24"/>
          <w:szCs w:val="24"/>
        </w:rPr>
        <w:t xml:space="preserve"> wie folgt: „Asylbewerberinnen und Asylbewerber, ehemalige Asylbewerberinnen und Asylbewerber, die auf Grund rechtlicher </w:t>
      </w:r>
      <w:r w:rsidRPr="00D356BC">
        <w:rPr>
          <w:sz w:val="24"/>
          <w:szCs w:val="24"/>
        </w:rPr>
        <w:t>oder tat</w:t>
      </w:r>
      <w:r>
        <w:rPr>
          <w:sz w:val="24"/>
          <w:szCs w:val="24"/>
        </w:rPr>
        <w:softHyphen/>
      </w:r>
      <w:r w:rsidRPr="00D356BC">
        <w:rPr>
          <w:sz w:val="24"/>
          <w:szCs w:val="24"/>
        </w:rPr>
        <w:t>sächlicher Unmöglichkeit nicht abgeschoben werden können, unerlaubt eingereisten Ausländerinnen und Ausländern sowie Ausländer/-innen, die auf Grund einer Anord</w:t>
      </w:r>
      <w:r>
        <w:rPr>
          <w:sz w:val="24"/>
          <w:szCs w:val="24"/>
        </w:rPr>
        <w:softHyphen/>
      </w:r>
      <w:r w:rsidRPr="00D356BC">
        <w:rPr>
          <w:sz w:val="24"/>
          <w:szCs w:val="24"/>
        </w:rPr>
        <w:t xml:space="preserve">nung des Ministeriums für Inneres und Sport nicht abgeschoben werden.“  </w:t>
      </w:r>
    </w:p>
    <w:p w:rsidR="009439AB" w:rsidRDefault="009439AB" w:rsidP="009439AB">
      <w:pPr>
        <w:spacing w:after="0" w:line="240" w:lineRule="auto"/>
        <w:jc w:val="both"/>
        <w:rPr>
          <w:sz w:val="24"/>
          <w:szCs w:val="24"/>
        </w:rPr>
      </w:pPr>
    </w:p>
    <w:p w:rsidR="009439AB" w:rsidRDefault="009439AB" w:rsidP="009439AB">
      <w:pPr>
        <w:spacing w:after="0" w:line="240" w:lineRule="auto"/>
        <w:jc w:val="both"/>
        <w:rPr>
          <w:sz w:val="24"/>
          <w:szCs w:val="24"/>
        </w:rPr>
      </w:pPr>
    </w:p>
    <w:p w:rsidR="009439AB" w:rsidRDefault="009439AB" w:rsidP="009439AB">
      <w:pPr>
        <w:spacing w:after="0" w:line="240" w:lineRule="auto"/>
        <w:rPr>
          <w:sz w:val="24"/>
          <w:szCs w:val="24"/>
        </w:rPr>
      </w:pPr>
    </w:p>
    <w:p w:rsidR="009439AB" w:rsidRDefault="009439AB" w:rsidP="009439AB">
      <w:pPr>
        <w:rPr>
          <w:rFonts w:eastAsiaTheme="majorEastAsia" w:cstheme="majorBidi"/>
          <w:b/>
          <w:bCs/>
          <w:sz w:val="24"/>
          <w:szCs w:val="28"/>
        </w:rPr>
      </w:pPr>
      <w:r>
        <w:br w:type="page"/>
      </w:r>
    </w:p>
    <w:p w:rsidR="0088071C" w:rsidRPr="0037022F" w:rsidRDefault="0088071C" w:rsidP="001322FC">
      <w:pPr>
        <w:pStyle w:val="berschrift1"/>
        <w:spacing w:before="0" w:after="240"/>
      </w:pPr>
      <w:bookmarkStart w:id="0" w:name="_Toc461620947"/>
      <w:bookmarkStart w:id="1" w:name="_Toc487549776"/>
      <w:r w:rsidRPr="00D356BC">
        <w:t>Ist-Analyse</w:t>
      </w:r>
      <w:r>
        <w:t xml:space="preserve"> der </w:t>
      </w:r>
      <w:r w:rsidRPr="00C37B8D">
        <w:t>Unterbringung 2015 und 201</w:t>
      </w:r>
      <w:bookmarkEnd w:id="0"/>
      <w:r w:rsidRPr="00C37B8D">
        <w:t>6</w:t>
      </w:r>
      <w:bookmarkEnd w:id="1"/>
    </w:p>
    <w:p w:rsidR="0088071C" w:rsidRPr="00790D55" w:rsidRDefault="0088071C" w:rsidP="001322FC">
      <w:pPr>
        <w:spacing w:after="0"/>
        <w:jc w:val="both"/>
        <w:rPr>
          <w:sz w:val="24"/>
          <w:szCs w:val="24"/>
        </w:rPr>
      </w:pPr>
      <w:r w:rsidRPr="00790D55">
        <w:rPr>
          <w:sz w:val="24"/>
          <w:szCs w:val="24"/>
        </w:rPr>
        <w:t>Seit Juli 2013 wird die Aufgabe der Unterbringung der nicht dauerhaft aufenthaltsberechtigten Ausländer in Eigenleistung durch den Landkreis Wittenberg erbracht.</w:t>
      </w:r>
    </w:p>
    <w:p w:rsidR="0088071C" w:rsidRDefault="0088071C" w:rsidP="001322FC">
      <w:pPr>
        <w:spacing w:after="0"/>
        <w:jc w:val="both"/>
        <w:rPr>
          <w:sz w:val="24"/>
          <w:szCs w:val="24"/>
        </w:rPr>
      </w:pPr>
    </w:p>
    <w:p w:rsidR="0088071C" w:rsidRDefault="0088071C" w:rsidP="001322FC">
      <w:pPr>
        <w:spacing w:after="0"/>
        <w:jc w:val="both"/>
        <w:rPr>
          <w:sz w:val="24"/>
          <w:szCs w:val="24"/>
        </w:rPr>
      </w:pPr>
      <w:r w:rsidRPr="00D356BC">
        <w:rPr>
          <w:sz w:val="24"/>
          <w:szCs w:val="24"/>
        </w:rPr>
        <w:t>Die folgenden Darstellungen geben zunächst Aus</w:t>
      </w:r>
      <w:r>
        <w:rPr>
          <w:sz w:val="24"/>
          <w:szCs w:val="24"/>
        </w:rPr>
        <w:t xml:space="preserve">kunft über die Entwicklung der </w:t>
      </w:r>
      <w:r w:rsidRPr="00D356BC">
        <w:rPr>
          <w:sz w:val="24"/>
          <w:szCs w:val="24"/>
        </w:rPr>
        <w:t>Personenzahlen und über die Standorte der Unterbringung.</w:t>
      </w:r>
    </w:p>
    <w:p w:rsidR="0088071C" w:rsidRPr="0023573C" w:rsidRDefault="0088071C" w:rsidP="001322FC">
      <w:pPr>
        <w:spacing w:after="0"/>
        <w:jc w:val="both"/>
        <w:rPr>
          <w:sz w:val="24"/>
          <w:szCs w:val="24"/>
        </w:rPr>
      </w:pPr>
      <w:r w:rsidRPr="001633D2">
        <w:rPr>
          <w:sz w:val="24"/>
          <w:szCs w:val="24"/>
        </w:rPr>
        <w:t>Die Personenzahl</w:t>
      </w:r>
      <w:r>
        <w:rPr>
          <w:sz w:val="24"/>
          <w:szCs w:val="24"/>
        </w:rPr>
        <w:t>en für die</w:t>
      </w:r>
      <w:r w:rsidRPr="001633D2">
        <w:rPr>
          <w:sz w:val="24"/>
          <w:szCs w:val="24"/>
        </w:rPr>
        <w:t xml:space="preserve"> Jahr</w:t>
      </w:r>
      <w:r>
        <w:rPr>
          <w:sz w:val="24"/>
          <w:szCs w:val="24"/>
        </w:rPr>
        <w:t>e</w:t>
      </w:r>
      <w:r w:rsidRPr="001633D2">
        <w:rPr>
          <w:sz w:val="24"/>
          <w:szCs w:val="24"/>
        </w:rPr>
        <w:t xml:space="preserve"> 2015 </w:t>
      </w:r>
      <w:r>
        <w:rPr>
          <w:sz w:val="24"/>
          <w:szCs w:val="24"/>
        </w:rPr>
        <w:t>und 2016 stammt aus der IT-Facha</w:t>
      </w:r>
      <w:r w:rsidRPr="001633D2">
        <w:rPr>
          <w:sz w:val="24"/>
          <w:szCs w:val="24"/>
        </w:rPr>
        <w:t>nwendung „</w:t>
      </w:r>
      <w:r w:rsidR="001322FC">
        <w:rPr>
          <w:sz w:val="24"/>
          <w:szCs w:val="24"/>
        </w:rPr>
        <w:t>OPEN/PROSOZ</w:t>
      </w:r>
      <w:r w:rsidRPr="001633D2">
        <w:rPr>
          <w:sz w:val="24"/>
          <w:szCs w:val="24"/>
        </w:rPr>
        <w:t>“ und bezieh</w:t>
      </w:r>
      <w:r>
        <w:rPr>
          <w:sz w:val="24"/>
          <w:szCs w:val="24"/>
        </w:rPr>
        <w:t>en</w:t>
      </w:r>
      <w:r w:rsidRPr="001633D2">
        <w:rPr>
          <w:sz w:val="24"/>
          <w:szCs w:val="24"/>
        </w:rPr>
        <w:t xml:space="preserve"> sich auf Fall-/Personenzahlen, die Leistungen nach dem AsylbLG erhalten</w:t>
      </w:r>
      <w:r>
        <w:rPr>
          <w:sz w:val="24"/>
          <w:szCs w:val="24"/>
        </w:rPr>
        <w:t xml:space="preserve"> haben (per Stichtag zum jeweiligen Monatsende)</w:t>
      </w:r>
      <w:r>
        <w:rPr>
          <w:color w:val="CC00FF"/>
          <w:sz w:val="24"/>
          <w:szCs w:val="24"/>
        </w:rPr>
        <w:t xml:space="preserve">; </w:t>
      </w:r>
      <w:r w:rsidRPr="0023573C">
        <w:rPr>
          <w:sz w:val="24"/>
          <w:szCs w:val="24"/>
        </w:rPr>
        <w:t>wobei die Anzahl der unterzubringenden Personen leicht abweichen kann, da es Personen gibt, die eigene Mietverträge ab</w:t>
      </w:r>
      <w:r>
        <w:rPr>
          <w:sz w:val="24"/>
          <w:szCs w:val="24"/>
        </w:rPr>
        <w:t>geschlossen haben</w:t>
      </w:r>
      <w:r w:rsidRPr="0023573C">
        <w:rPr>
          <w:sz w:val="24"/>
          <w:szCs w:val="24"/>
        </w:rPr>
        <w:t xml:space="preserve">. </w:t>
      </w:r>
    </w:p>
    <w:p w:rsidR="001322FC" w:rsidRDefault="001322FC" w:rsidP="0088071C">
      <w:pPr>
        <w:spacing w:after="0" w:line="240" w:lineRule="auto"/>
        <w:jc w:val="both"/>
        <w:rPr>
          <w:sz w:val="24"/>
          <w:szCs w:val="24"/>
        </w:rPr>
      </w:pPr>
    </w:p>
    <w:p w:rsidR="0088071C" w:rsidRDefault="0088071C" w:rsidP="0088071C">
      <w:pPr>
        <w:spacing w:after="0" w:line="240" w:lineRule="auto"/>
        <w:jc w:val="both"/>
        <w:rPr>
          <w:sz w:val="24"/>
          <w:szCs w:val="24"/>
        </w:rPr>
      </w:pPr>
      <w:r>
        <w:rPr>
          <w:noProof/>
          <w:lang w:eastAsia="de-DE"/>
        </w:rPr>
        <w:drawing>
          <wp:inline distT="0" distB="0" distL="0" distR="0" wp14:anchorId="5913285A" wp14:editId="4EFFF6E3">
            <wp:extent cx="5759450" cy="3715537"/>
            <wp:effectExtent l="0" t="0" r="12700" b="1841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071C" w:rsidRDefault="0088071C" w:rsidP="0088071C">
      <w:pPr>
        <w:spacing w:after="0" w:line="240" w:lineRule="auto"/>
        <w:jc w:val="both"/>
        <w:rPr>
          <w:sz w:val="24"/>
          <w:szCs w:val="24"/>
        </w:rPr>
      </w:pPr>
    </w:p>
    <w:p w:rsidR="0088071C" w:rsidRDefault="0088071C" w:rsidP="001322FC">
      <w:pPr>
        <w:spacing w:after="0"/>
        <w:jc w:val="both"/>
        <w:rPr>
          <w:sz w:val="24"/>
          <w:szCs w:val="24"/>
        </w:rPr>
      </w:pPr>
      <w:r w:rsidRPr="00176220">
        <w:rPr>
          <w:sz w:val="24"/>
          <w:szCs w:val="24"/>
        </w:rPr>
        <w:t>Im Jahr 201</w:t>
      </w:r>
      <w:r>
        <w:rPr>
          <w:sz w:val="24"/>
          <w:szCs w:val="24"/>
        </w:rPr>
        <w:t>5</w:t>
      </w:r>
      <w:r w:rsidRPr="00176220">
        <w:rPr>
          <w:sz w:val="24"/>
          <w:szCs w:val="24"/>
        </w:rPr>
        <w:t xml:space="preserve"> wurden im Landkreis Wittenberg durchschnittlich </w:t>
      </w:r>
      <w:r>
        <w:rPr>
          <w:sz w:val="24"/>
          <w:szCs w:val="24"/>
        </w:rPr>
        <w:t>879</w:t>
      </w:r>
      <w:r w:rsidRPr="00176220">
        <w:rPr>
          <w:sz w:val="24"/>
          <w:szCs w:val="24"/>
        </w:rPr>
        <w:t xml:space="preserve"> nicht dauerhaft aufenthaltsberechtigte Ausländer untergebracht; i</w:t>
      </w:r>
      <w:r>
        <w:rPr>
          <w:sz w:val="24"/>
          <w:szCs w:val="24"/>
        </w:rPr>
        <w:t xml:space="preserve">m Jahr 2016 waren es bereits 1069 </w:t>
      </w:r>
      <w:r w:rsidRPr="00176220">
        <w:rPr>
          <w:sz w:val="24"/>
          <w:szCs w:val="24"/>
        </w:rPr>
        <w:t xml:space="preserve">unterzubringende </w:t>
      </w:r>
      <w:r w:rsidRPr="0023573C">
        <w:rPr>
          <w:sz w:val="24"/>
          <w:szCs w:val="24"/>
        </w:rPr>
        <w:t xml:space="preserve">Ausländer, mit </w:t>
      </w:r>
      <w:r>
        <w:rPr>
          <w:sz w:val="24"/>
          <w:szCs w:val="24"/>
        </w:rPr>
        <w:t>sinkender</w:t>
      </w:r>
      <w:r w:rsidRPr="0023573C">
        <w:rPr>
          <w:sz w:val="24"/>
          <w:szCs w:val="24"/>
        </w:rPr>
        <w:t xml:space="preserve"> Tendenz zum Jahresende</w:t>
      </w:r>
      <w:r>
        <w:rPr>
          <w:sz w:val="24"/>
          <w:szCs w:val="24"/>
        </w:rPr>
        <w:t>.</w:t>
      </w:r>
    </w:p>
    <w:p w:rsidR="0088071C" w:rsidRPr="005A2B65" w:rsidRDefault="0088071C" w:rsidP="001322FC">
      <w:pPr>
        <w:spacing w:after="0"/>
        <w:jc w:val="both"/>
        <w:rPr>
          <w:sz w:val="24"/>
          <w:szCs w:val="24"/>
        </w:rPr>
      </w:pPr>
    </w:p>
    <w:p w:rsidR="0088071C" w:rsidRPr="005A2B65" w:rsidRDefault="0088071C" w:rsidP="001322FC">
      <w:pPr>
        <w:spacing w:after="0"/>
        <w:jc w:val="both"/>
        <w:rPr>
          <w:rFonts w:eastAsia="Times New Roman" w:cs="Arial"/>
          <w:sz w:val="24"/>
          <w:szCs w:val="24"/>
          <w:lang w:eastAsia="de-DE"/>
        </w:rPr>
      </w:pPr>
      <w:r w:rsidRPr="005A2B65">
        <w:rPr>
          <w:rFonts w:eastAsia="Times New Roman" w:cs="Arial"/>
          <w:sz w:val="24"/>
          <w:szCs w:val="24"/>
          <w:lang w:eastAsia="de-DE"/>
        </w:rPr>
        <w:t xml:space="preserve">An dieser Stelle wird darauf hingewiesen, dass das Land den Durchschnitt der nicht dauerhaft aufenthaltsberechtigten Ausländer quartalsweise ermittelt, und nicht wie in obiger Darstellung monatsweise. Die Zahlen weichen deshalb voneinander ab. Jeder Landkreis ist verpflichtet, dem Landesverwaltungsamt für diese Berechnung die im Leistungsbezug stehenden Personen quartalsweise zu übermitteln. </w:t>
      </w:r>
    </w:p>
    <w:p w:rsidR="0088071C" w:rsidRPr="005A2B65" w:rsidRDefault="0088071C" w:rsidP="001322FC">
      <w:pPr>
        <w:spacing w:after="0"/>
        <w:jc w:val="both"/>
        <w:rPr>
          <w:rFonts w:eastAsia="Times New Roman" w:cs="Arial"/>
          <w:sz w:val="24"/>
          <w:szCs w:val="24"/>
          <w:lang w:eastAsia="de-DE"/>
        </w:rPr>
      </w:pPr>
      <w:r w:rsidRPr="005A2B65">
        <w:rPr>
          <w:rFonts w:eastAsia="Times New Roman" w:cs="Arial"/>
          <w:sz w:val="24"/>
          <w:szCs w:val="24"/>
          <w:lang w:eastAsia="de-DE"/>
        </w:rPr>
        <w:t>Für die Kostenerhebung nach dem Aufnahmegesetz sowie für die Ermittlung des Pauschalbetrages wurden vom Land durchschnittliche Personen-/Fallzahlen i.H.v. 1.041 zugrunde gelegt.</w:t>
      </w:r>
    </w:p>
    <w:p w:rsidR="0088071C" w:rsidRPr="003C376E" w:rsidRDefault="0088071C" w:rsidP="0088071C">
      <w:pPr>
        <w:spacing w:after="0" w:line="240" w:lineRule="auto"/>
        <w:jc w:val="both"/>
        <w:rPr>
          <w:color w:val="00B0F0"/>
          <w:szCs w:val="20"/>
        </w:rPr>
      </w:pPr>
    </w:p>
    <w:p w:rsidR="0088071C" w:rsidRDefault="0088071C" w:rsidP="0088071C">
      <w:pPr>
        <w:spacing w:after="0" w:line="240" w:lineRule="auto"/>
        <w:jc w:val="both"/>
        <w:rPr>
          <w:sz w:val="24"/>
          <w:szCs w:val="24"/>
        </w:rPr>
      </w:pPr>
      <w:r w:rsidRPr="00176220">
        <w:rPr>
          <w:sz w:val="24"/>
          <w:szCs w:val="24"/>
        </w:rPr>
        <w:t>Die nachf</w:t>
      </w:r>
      <w:r>
        <w:rPr>
          <w:sz w:val="24"/>
          <w:szCs w:val="24"/>
        </w:rPr>
        <w:t xml:space="preserve">olgende Grafik verdeutlicht die Entwicklung </w:t>
      </w:r>
      <w:r w:rsidRPr="00176220">
        <w:rPr>
          <w:sz w:val="24"/>
          <w:szCs w:val="24"/>
        </w:rPr>
        <w:t>de</w:t>
      </w:r>
      <w:r>
        <w:rPr>
          <w:sz w:val="24"/>
          <w:szCs w:val="24"/>
        </w:rPr>
        <w:t>r Fallzahlen ab Januar 2015:</w:t>
      </w:r>
    </w:p>
    <w:p w:rsidR="0088071C" w:rsidRPr="00176220" w:rsidRDefault="0088071C" w:rsidP="0088071C">
      <w:pPr>
        <w:spacing w:after="0" w:line="240" w:lineRule="auto"/>
        <w:jc w:val="both"/>
        <w:rPr>
          <w:sz w:val="24"/>
          <w:szCs w:val="24"/>
        </w:rPr>
      </w:pPr>
    </w:p>
    <w:p w:rsidR="0088071C" w:rsidRDefault="0088071C" w:rsidP="0088071C">
      <w:pPr>
        <w:spacing w:after="0" w:line="240" w:lineRule="auto"/>
        <w:jc w:val="both"/>
        <w:rPr>
          <w:sz w:val="24"/>
          <w:szCs w:val="24"/>
        </w:rPr>
      </w:pPr>
      <w:r>
        <w:rPr>
          <w:noProof/>
          <w:lang w:eastAsia="de-DE"/>
        </w:rPr>
        <w:drawing>
          <wp:inline distT="0" distB="0" distL="0" distR="0" wp14:anchorId="4CAF3569" wp14:editId="78A0D9E7">
            <wp:extent cx="5762625" cy="3295650"/>
            <wp:effectExtent l="0" t="0" r="9525" b="1905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071C" w:rsidRDefault="0088071C" w:rsidP="0088071C">
      <w:pPr>
        <w:spacing w:after="0" w:line="240" w:lineRule="auto"/>
        <w:jc w:val="both"/>
        <w:rPr>
          <w:sz w:val="24"/>
          <w:szCs w:val="24"/>
        </w:rPr>
      </w:pPr>
    </w:p>
    <w:p w:rsidR="0088071C" w:rsidRPr="00C37B8D" w:rsidRDefault="0088071C" w:rsidP="001322FC">
      <w:pPr>
        <w:spacing w:after="0"/>
        <w:jc w:val="both"/>
        <w:rPr>
          <w:sz w:val="24"/>
          <w:szCs w:val="24"/>
        </w:rPr>
      </w:pPr>
      <w:r w:rsidRPr="00C37B8D">
        <w:rPr>
          <w:sz w:val="24"/>
          <w:szCs w:val="24"/>
        </w:rPr>
        <w:t>Die Unterbringung erfolgte an verschiedenen Standorten im gesamten Kreisgebiet. Durch den Landkreis Wittenberg wurden 351 Wohnungen</w:t>
      </w:r>
      <w:r>
        <w:rPr>
          <w:sz w:val="24"/>
          <w:szCs w:val="24"/>
        </w:rPr>
        <w:t xml:space="preserve"> per 31.12.2015</w:t>
      </w:r>
      <w:r w:rsidRPr="00C37B8D">
        <w:rPr>
          <w:sz w:val="24"/>
          <w:szCs w:val="24"/>
        </w:rPr>
        <w:t xml:space="preserve">  angemietet und 2 Notunterkünfte betrieben; im Jahr 2016 waren es bis zu 457 Wohnungen</w:t>
      </w:r>
      <w:r>
        <w:rPr>
          <w:sz w:val="24"/>
          <w:szCs w:val="24"/>
        </w:rPr>
        <w:t>,</w:t>
      </w:r>
      <w:r w:rsidRPr="00C37B8D">
        <w:rPr>
          <w:sz w:val="24"/>
          <w:szCs w:val="24"/>
        </w:rPr>
        <w:t xml:space="preserve"> 431</w:t>
      </w:r>
      <w:r>
        <w:rPr>
          <w:sz w:val="24"/>
          <w:szCs w:val="24"/>
        </w:rPr>
        <w:t xml:space="preserve"> Wohnungen mit Stand 31.12.2016</w:t>
      </w:r>
      <w:r w:rsidRPr="00C37B8D">
        <w:rPr>
          <w:sz w:val="24"/>
          <w:szCs w:val="24"/>
        </w:rPr>
        <w:t xml:space="preserve"> und 3 Übergangswohnheime. </w:t>
      </w:r>
    </w:p>
    <w:p w:rsidR="0088071C" w:rsidRPr="00C37B8D" w:rsidRDefault="0088071C" w:rsidP="001322FC">
      <w:pPr>
        <w:spacing w:after="0"/>
        <w:jc w:val="both"/>
        <w:rPr>
          <w:sz w:val="24"/>
          <w:szCs w:val="24"/>
        </w:rPr>
      </w:pPr>
    </w:p>
    <w:p w:rsidR="0088071C" w:rsidRDefault="0088071C" w:rsidP="001322FC">
      <w:pPr>
        <w:spacing w:after="0"/>
        <w:jc w:val="both"/>
        <w:rPr>
          <w:sz w:val="24"/>
          <w:szCs w:val="24"/>
        </w:rPr>
      </w:pPr>
      <w:r w:rsidRPr="00C37B8D">
        <w:rPr>
          <w:sz w:val="24"/>
          <w:szCs w:val="24"/>
        </w:rPr>
        <w:t xml:space="preserve">Im genannten Zeitraum sind Wohnungen bei Wohnungsgesellschaften, Großver- mietern, Privatanbietern und Kommunen angemietet worden. </w:t>
      </w:r>
    </w:p>
    <w:p w:rsidR="001322FC" w:rsidRPr="00C37B8D" w:rsidRDefault="001322FC" w:rsidP="0088071C">
      <w:pPr>
        <w:spacing w:after="0" w:line="240" w:lineRule="auto"/>
        <w:jc w:val="both"/>
        <w:rPr>
          <w:sz w:val="24"/>
          <w:szCs w:val="24"/>
        </w:rPr>
      </w:pPr>
    </w:p>
    <w:p w:rsidR="001322FC" w:rsidRDefault="001322FC" w:rsidP="0088071C">
      <w:pPr>
        <w:spacing w:after="0" w:line="240" w:lineRule="auto"/>
        <w:jc w:val="both"/>
        <w:rPr>
          <w:color w:val="00B0F0"/>
          <w:szCs w:val="20"/>
        </w:rPr>
      </w:pPr>
      <w:r>
        <w:rPr>
          <w:noProof/>
          <w:lang w:eastAsia="de-DE"/>
        </w:rPr>
        <w:drawing>
          <wp:inline distT="0" distB="0" distL="0" distR="0" wp14:anchorId="4DD46E2D" wp14:editId="6993868B">
            <wp:extent cx="5762625" cy="3971925"/>
            <wp:effectExtent l="0" t="0" r="9525"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22FC" w:rsidRDefault="001322FC" w:rsidP="0088071C">
      <w:pPr>
        <w:spacing w:after="0" w:line="240" w:lineRule="auto"/>
        <w:jc w:val="both"/>
        <w:rPr>
          <w:sz w:val="24"/>
          <w:szCs w:val="24"/>
        </w:rPr>
      </w:pPr>
    </w:p>
    <w:p w:rsidR="001322FC" w:rsidRDefault="001322FC" w:rsidP="0088071C">
      <w:pPr>
        <w:spacing w:after="0" w:line="240" w:lineRule="auto"/>
        <w:jc w:val="both"/>
        <w:rPr>
          <w:sz w:val="24"/>
          <w:szCs w:val="24"/>
        </w:rPr>
      </w:pPr>
    </w:p>
    <w:p w:rsidR="0088071C" w:rsidRDefault="001322FC" w:rsidP="0088071C">
      <w:pPr>
        <w:spacing w:after="0" w:line="240" w:lineRule="auto"/>
        <w:jc w:val="both"/>
        <w:rPr>
          <w:sz w:val="24"/>
          <w:szCs w:val="24"/>
        </w:rPr>
      </w:pPr>
      <w:r>
        <w:rPr>
          <w:noProof/>
          <w:lang w:eastAsia="de-DE"/>
        </w:rPr>
        <w:drawing>
          <wp:inline distT="0" distB="0" distL="0" distR="0" wp14:anchorId="5B9D664D" wp14:editId="406A6FB7">
            <wp:extent cx="5762445" cy="4295955"/>
            <wp:effectExtent l="0" t="0" r="10160" b="952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071C" w:rsidRDefault="0088071C" w:rsidP="0088071C">
      <w:pPr>
        <w:spacing w:after="0" w:line="240" w:lineRule="auto"/>
        <w:jc w:val="both"/>
        <w:rPr>
          <w:sz w:val="24"/>
          <w:szCs w:val="24"/>
        </w:rPr>
      </w:pPr>
    </w:p>
    <w:p w:rsidR="0088071C" w:rsidRPr="00C37B8D" w:rsidRDefault="0088071C" w:rsidP="001322FC">
      <w:pPr>
        <w:spacing w:after="0"/>
        <w:jc w:val="both"/>
        <w:rPr>
          <w:sz w:val="24"/>
          <w:szCs w:val="24"/>
        </w:rPr>
      </w:pPr>
      <w:r w:rsidRPr="00C37B8D">
        <w:rPr>
          <w:sz w:val="24"/>
          <w:szCs w:val="24"/>
        </w:rPr>
        <w:t>Bereits im Jahr 2015 wurden infolge des massiven Flüchtlingszustroms eine Vielzahl weiterer Wohnungen angemietet und baulich für die Belegung hergerichtet.</w:t>
      </w:r>
    </w:p>
    <w:p w:rsidR="0088071C" w:rsidRPr="00C37B8D" w:rsidRDefault="0088071C" w:rsidP="001322FC">
      <w:pPr>
        <w:spacing w:after="0"/>
        <w:jc w:val="both"/>
        <w:rPr>
          <w:sz w:val="24"/>
          <w:szCs w:val="24"/>
        </w:rPr>
      </w:pPr>
      <w:r w:rsidRPr="00C37B8D">
        <w:rPr>
          <w:sz w:val="24"/>
          <w:szCs w:val="24"/>
        </w:rPr>
        <w:t>In dieser Zeit ließen sich die Vermieter, auch die ortsansässigen Großvermieter potenziell geeigneter Wohnungen überwiegend auf Zeitmietverträge ein. Die Laufzeiten betragen mindestens 5 Jahre und maximal 10 Jahre.</w:t>
      </w:r>
    </w:p>
    <w:p w:rsidR="0088071C" w:rsidRPr="00C37B8D" w:rsidRDefault="0088071C" w:rsidP="001322FC">
      <w:pPr>
        <w:spacing w:after="0"/>
        <w:jc w:val="both"/>
        <w:rPr>
          <w:sz w:val="24"/>
          <w:szCs w:val="24"/>
        </w:rPr>
      </w:pPr>
    </w:p>
    <w:p w:rsidR="0088071C" w:rsidRPr="00C37B8D" w:rsidRDefault="0088071C" w:rsidP="001322FC">
      <w:pPr>
        <w:spacing w:after="0"/>
        <w:jc w:val="both"/>
        <w:rPr>
          <w:sz w:val="24"/>
          <w:szCs w:val="24"/>
        </w:rPr>
      </w:pPr>
      <w:r w:rsidRPr="00C37B8D">
        <w:rPr>
          <w:sz w:val="24"/>
          <w:szCs w:val="24"/>
        </w:rPr>
        <w:t>Im Frühjahr 2016 trat eine Bürgerinitiative aus Vockerode an die Landesregierung mit dem Anliegen heran, eine Reduzierung der in Vockerode untergebrachten Flüchtlinge zu erreichen. Die Einwohner in Vockerode vertraten die Auffassung, dass bei ca. 1.300 Einwohnern eine Unterbringung von ca. 750 Flüchtlingen eine nicht zu bewältigende Aufgabe bei der Integration für diese Ortschaft darstellt, weder KITA-, Schul- und Arbeitsplätze in dem notwendigen Ausmaß vorhanden sind und auch Einkaufsmöglichkeiten und medizinische Betreuung nicht gegeben sind.</w:t>
      </w:r>
    </w:p>
    <w:p w:rsidR="0088071C" w:rsidRPr="00C37B8D" w:rsidRDefault="0088071C" w:rsidP="001322FC">
      <w:pPr>
        <w:spacing w:after="0"/>
        <w:jc w:val="both"/>
        <w:rPr>
          <w:sz w:val="24"/>
          <w:szCs w:val="24"/>
        </w:rPr>
      </w:pPr>
      <w:r w:rsidRPr="00C37B8D">
        <w:rPr>
          <w:sz w:val="24"/>
          <w:szCs w:val="24"/>
        </w:rPr>
        <w:t xml:space="preserve">Der Ministerpräsident des Landes Sachsen-Anhalt forderte vom Landkreis Wittenberg eine deutliche Reduzierung des Bestandes an untergebrachten Flüchtlingen. </w:t>
      </w:r>
    </w:p>
    <w:p w:rsidR="0088071C" w:rsidRPr="00C37B8D" w:rsidRDefault="0088071C" w:rsidP="001322FC">
      <w:pPr>
        <w:spacing w:after="0"/>
        <w:jc w:val="both"/>
        <w:rPr>
          <w:sz w:val="24"/>
          <w:szCs w:val="24"/>
        </w:rPr>
      </w:pPr>
      <w:r w:rsidRPr="00C37B8D">
        <w:rPr>
          <w:sz w:val="24"/>
          <w:szCs w:val="24"/>
        </w:rPr>
        <w:t>Entsprechend dieser Forderung wurde der Bestand an untergebrachten Flüchtlingen auf ca. 250 Personen reduziert. Im Gegenzug wurde an die Landesregierung die Frage nach der Erstattung der so geschaffenen Leerstandskosten herangetragen. Durch den Innenminister wurde geantwortet, dass der Landkreis Wittenberg sich mit der Sparkasse Wittenberg als Gläubiger des insolventen Eigentümers verständigen solle. Durch den Zwangsverwalter wäre der vorzeitigen Beendigung der Mietverträge unter Zahlung der vollen Mietzinsen bis Vertragsende noch im laufenden Jahr 2016 zugestimmt worden</w:t>
      </w:r>
      <w:r>
        <w:rPr>
          <w:sz w:val="24"/>
          <w:szCs w:val="24"/>
        </w:rPr>
        <w:t>.</w:t>
      </w:r>
      <w:r w:rsidRPr="00C37B8D">
        <w:rPr>
          <w:sz w:val="24"/>
          <w:szCs w:val="24"/>
        </w:rPr>
        <w:t xml:space="preserve"> Da </w:t>
      </w:r>
      <w:r>
        <w:rPr>
          <w:sz w:val="24"/>
          <w:szCs w:val="24"/>
        </w:rPr>
        <w:t>für den Landkreis</w:t>
      </w:r>
      <w:r w:rsidRPr="00C37B8D">
        <w:rPr>
          <w:sz w:val="24"/>
          <w:szCs w:val="24"/>
        </w:rPr>
        <w:t xml:space="preserve"> keine finanziellen </w:t>
      </w:r>
      <w:r>
        <w:rPr>
          <w:sz w:val="24"/>
          <w:szCs w:val="24"/>
        </w:rPr>
        <w:t>resultieren</w:t>
      </w:r>
      <w:r w:rsidRPr="00C37B8D">
        <w:rPr>
          <w:sz w:val="24"/>
          <w:szCs w:val="24"/>
        </w:rPr>
        <w:t xml:space="preserve">, wurde eine „Abstandszahlung“ nicht geleistet. </w:t>
      </w:r>
      <w:r>
        <w:rPr>
          <w:sz w:val="24"/>
          <w:szCs w:val="24"/>
        </w:rPr>
        <w:t>I</w:t>
      </w:r>
      <w:r w:rsidRPr="00C37B8D">
        <w:rPr>
          <w:sz w:val="24"/>
          <w:szCs w:val="24"/>
        </w:rPr>
        <w:t>m Falle einer weiteren Flüchtlingswelle</w:t>
      </w:r>
      <w:r>
        <w:rPr>
          <w:sz w:val="24"/>
          <w:szCs w:val="24"/>
        </w:rPr>
        <w:t xml:space="preserve"> stünden</w:t>
      </w:r>
      <w:r w:rsidRPr="00C37B8D">
        <w:rPr>
          <w:sz w:val="24"/>
          <w:szCs w:val="24"/>
        </w:rPr>
        <w:t xml:space="preserve"> die Wohnungen in Vockerode als Notunterkunft </w:t>
      </w:r>
      <w:r>
        <w:rPr>
          <w:sz w:val="24"/>
          <w:szCs w:val="24"/>
        </w:rPr>
        <w:t>zur Verfügung</w:t>
      </w:r>
      <w:r w:rsidRPr="00C37B8D">
        <w:rPr>
          <w:sz w:val="24"/>
          <w:szCs w:val="24"/>
        </w:rPr>
        <w:t>.</w:t>
      </w:r>
    </w:p>
    <w:p w:rsidR="0088071C" w:rsidRPr="00C37B8D" w:rsidRDefault="0088071C" w:rsidP="001322FC">
      <w:pPr>
        <w:spacing w:after="0"/>
        <w:jc w:val="both"/>
        <w:rPr>
          <w:sz w:val="24"/>
          <w:szCs w:val="24"/>
        </w:rPr>
      </w:pPr>
    </w:p>
    <w:p w:rsidR="0088071C" w:rsidRPr="00C37B8D" w:rsidRDefault="00775BF0" w:rsidP="001322FC">
      <w:pPr>
        <w:spacing w:after="0"/>
        <w:jc w:val="both"/>
        <w:rPr>
          <w:rFonts w:cs="Arial"/>
          <w:sz w:val="24"/>
          <w:szCs w:val="24"/>
        </w:rPr>
      </w:pPr>
      <w:r>
        <w:rPr>
          <w:rFonts w:cs="Arial"/>
          <w:sz w:val="24"/>
          <w:szCs w:val="24"/>
        </w:rPr>
        <w:t>Mit Stand 31</w:t>
      </w:r>
      <w:r w:rsidR="0088071C" w:rsidRPr="00C37B8D">
        <w:rPr>
          <w:rFonts w:cs="Arial"/>
          <w:sz w:val="24"/>
          <w:szCs w:val="24"/>
        </w:rPr>
        <w:t xml:space="preserve">.12.2016 waren insgesamt 874 Personen in den vorhandenen Wohnungen und 270 Personen in den Übergangswohnheimen Wittenberg, Coswig / Anhalt und Gräfenhainichen untergebracht (Belegungsübersicht der </w:t>
      </w:r>
      <w:r w:rsidR="0088071C">
        <w:rPr>
          <w:rFonts w:cs="Arial"/>
          <w:sz w:val="24"/>
          <w:szCs w:val="24"/>
        </w:rPr>
        <w:t>nicht dauerhaft aufenthaltsberechtigter Ausländer sowie Personen mit einem Aufenthaltsstatus</w:t>
      </w:r>
      <w:r w:rsidR="0088071C" w:rsidRPr="00C37B8D">
        <w:rPr>
          <w:rFonts w:cs="Arial"/>
          <w:sz w:val="24"/>
          <w:szCs w:val="24"/>
        </w:rPr>
        <w:t xml:space="preserve"> im Landkreis Wittenberg).</w:t>
      </w:r>
    </w:p>
    <w:p w:rsidR="0088071C" w:rsidRPr="00C37B8D" w:rsidRDefault="0088071C" w:rsidP="001322FC">
      <w:pPr>
        <w:spacing w:after="0"/>
        <w:jc w:val="both"/>
        <w:rPr>
          <w:rFonts w:cs="Arial"/>
          <w:sz w:val="24"/>
          <w:szCs w:val="24"/>
        </w:rPr>
      </w:pPr>
    </w:p>
    <w:p w:rsidR="0088071C" w:rsidRDefault="0088071C" w:rsidP="001322FC">
      <w:pPr>
        <w:spacing w:after="0"/>
        <w:jc w:val="both"/>
        <w:rPr>
          <w:sz w:val="24"/>
          <w:szCs w:val="24"/>
        </w:rPr>
      </w:pPr>
      <w:r w:rsidRPr="00C37B8D">
        <w:rPr>
          <w:sz w:val="24"/>
          <w:szCs w:val="24"/>
        </w:rPr>
        <w:t xml:space="preserve">In den durch den Landkreis Wittenberg angemieteten und zur Unterbringung zur Verfügung gestellten </w:t>
      </w:r>
      <w:r w:rsidRPr="00C37B8D">
        <w:rPr>
          <w:sz w:val="24"/>
          <w:szCs w:val="24"/>
          <w:u w:val="single"/>
        </w:rPr>
        <w:t>Wohnungen</w:t>
      </w:r>
      <w:r w:rsidRPr="00C37B8D">
        <w:rPr>
          <w:sz w:val="24"/>
          <w:szCs w:val="24"/>
        </w:rPr>
        <w:t xml:space="preserve"> waren zum Stichtag 31.12.2016 u.a. 300 Plätze durch Personen mit einem Aufenthaltstitel belegt. In den 3 Übergangswohnheimen waren nochmals 90 Personen mit Aufenthaltstitel untergebracht. Durch die Unterbringung von Personen mit einem Aufenthaltstitel waren zum Jahresende 2016 insgesamt 390 Plätze belegt. Personen mit Aufenthaltstitel können sich zwar grundsätzlich eigenen Wohnraum suchen und anmieten, allerdings ist der Wohnungsmarkt im Bereich der nach dem SGB II als angemessen geltenden Wohnungen nahezu ausgeschöpft, so dass auch weiterhin dieser Personenkreis in den Wohnungen des Landkreises Wittenberg wohnhaft bleiben wird. Insbesondere für Alleinreisende und Familien mit vielen Kindern ist es sehr schwierig, geeigneten Wohnraum zu finden. Der Wohnungsmarkt hält nicht genügend kleine bzw. sehr große Wohnungen entsprechend den Angemessenheitskriterien des Jobcenters bereit.  Für einen Teil dieses Personenkreises kommt erschwerend hinzu, dass mit Zuerkennung von nur subsidiärem Schutz, Aufenthaltstitel von nur einem Jahr, auch seitens der Vermieter Zurückhaltung gegeben ist, weil ungewiss ist, wer ggf. für Nachzahlungen auf die Betriebskosten aufkommt. </w:t>
      </w:r>
    </w:p>
    <w:p w:rsidR="001322FC" w:rsidRPr="00C37B8D" w:rsidRDefault="001322FC" w:rsidP="001322FC">
      <w:pPr>
        <w:spacing w:after="0"/>
        <w:jc w:val="both"/>
        <w:rPr>
          <w:sz w:val="24"/>
          <w:szCs w:val="24"/>
        </w:rPr>
      </w:pPr>
    </w:p>
    <w:p w:rsidR="0088071C" w:rsidRDefault="0088071C" w:rsidP="001322FC">
      <w:pPr>
        <w:pStyle w:val="berschrift1"/>
        <w:spacing w:before="0" w:after="240"/>
      </w:pPr>
      <w:bookmarkStart w:id="2" w:name="_Toc461620948"/>
      <w:bookmarkStart w:id="3" w:name="_Toc487549777"/>
      <w:r>
        <w:t>Ist-Analyse der Kosten 2015</w:t>
      </w:r>
      <w:r w:rsidRPr="00931E58">
        <w:t xml:space="preserve"> und 201</w:t>
      </w:r>
      <w:bookmarkEnd w:id="2"/>
      <w:r>
        <w:t>6</w:t>
      </w:r>
      <w:bookmarkEnd w:id="3"/>
    </w:p>
    <w:p w:rsidR="0088071C" w:rsidRDefault="0088071C" w:rsidP="001322FC">
      <w:pPr>
        <w:spacing w:after="0"/>
        <w:jc w:val="both"/>
        <w:rPr>
          <w:sz w:val="24"/>
          <w:szCs w:val="24"/>
        </w:rPr>
      </w:pPr>
      <w:r w:rsidRPr="00D335C9">
        <w:rPr>
          <w:sz w:val="24"/>
          <w:szCs w:val="24"/>
        </w:rPr>
        <w:t>Nachfolgend soll auf die entstandenen Aufwands-  bzw. Kostenpositionen näher eingegangen werden. Die Datenauswertung bezieht sich auf die Ko</w:t>
      </w:r>
      <w:r>
        <w:rPr>
          <w:sz w:val="24"/>
          <w:szCs w:val="24"/>
        </w:rPr>
        <w:t>sten- und Leistungsrechnung KLR.</w:t>
      </w:r>
    </w:p>
    <w:p w:rsidR="0088071C" w:rsidRDefault="0088071C" w:rsidP="001322FC">
      <w:pPr>
        <w:spacing w:after="0"/>
        <w:jc w:val="both"/>
        <w:rPr>
          <w:sz w:val="24"/>
          <w:szCs w:val="24"/>
        </w:rPr>
      </w:pPr>
    </w:p>
    <w:tbl>
      <w:tblPr>
        <w:tblW w:w="9343" w:type="dxa"/>
        <w:tblInd w:w="65" w:type="dxa"/>
        <w:tblLayout w:type="fixed"/>
        <w:tblCellMar>
          <w:left w:w="70" w:type="dxa"/>
          <w:right w:w="70" w:type="dxa"/>
        </w:tblCellMar>
        <w:tblLook w:val="04A0" w:firstRow="1" w:lastRow="0" w:firstColumn="1" w:lastColumn="0" w:noHBand="0" w:noVBand="1"/>
      </w:tblPr>
      <w:tblGrid>
        <w:gridCol w:w="1565"/>
        <w:gridCol w:w="2976"/>
        <w:gridCol w:w="1418"/>
        <w:gridCol w:w="1559"/>
        <w:gridCol w:w="1825"/>
      </w:tblGrid>
      <w:tr w:rsidR="0088071C" w:rsidRPr="006E556F" w:rsidTr="005D34AE">
        <w:trPr>
          <w:cantSplit/>
          <w:trHeight w:val="2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center"/>
              <w:rPr>
                <w:rFonts w:eastAsia="Times New Roman" w:cs="Arial"/>
                <w:b/>
                <w:bCs/>
                <w:szCs w:val="20"/>
                <w:lang w:eastAsia="de-DE"/>
              </w:rPr>
            </w:pPr>
            <w:r w:rsidRPr="00B16A08">
              <w:rPr>
                <w:rFonts w:eastAsia="Times New Roman" w:cs="Arial"/>
                <w:b/>
                <w:bCs/>
                <w:szCs w:val="20"/>
                <w:lang w:eastAsia="de-DE"/>
              </w:rPr>
              <w:t>Kontenbereich</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88071C" w:rsidRPr="00B16A08" w:rsidRDefault="0088071C" w:rsidP="005D34AE">
            <w:pPr>
              <w:spacing w:after="0" w:line="240" w:lineRule="auto"/>
              <w:jc w:val="center"/>
              <w:rPr>
                <w:rFonts w:eastAsia="Times New Roman" w:cs="Arial"/>
                <w:b/>
                <w:bCs/>
                <w:szCs w:val="20"/>
                <w:lang w:eastAsia="de-DE"/>
              </w:rPr>
            </w:pPr>
            <w:r w:rsidRPr="00B16A08">
              <w:rPr>
                <w:rFonts w:eastAsia="Times New Roman" w:cs="Arial"/>
                <w:b/>
                <w:bCs/>
                <w:szCs w:val="20"/>
                <w:lang w:eastAsia="de-DE"/>
              </w:rPr>
              <w:t>Bezeichnung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071C" w:rsidRPr="00B16A08" w:rsidRDefault="0088071C" w:rsidP="005D34AE">
            <w:pPr>
              <w:spacing w:after="0" w:line="240" w:lineRule="auto"/>
              <w:jc w:val="center"/>
              <w:rPr>
                <w:rFonts w:eastAsia="Times New Roman" w:cs="Arial"/>
                <w:b/>
                <w:bCs/>
                <w:szCs w:val="20"/>
                <w:lang w:eastAsia="de-DE"/>
              </w:rPr>
            </w:pPr>
            <w:r>
              <w:rPr>
                <w:rFonts w:eastAsia="Times New Roman" w:cs="Arial"/>
                <w:b/>
                <w:bCs/>
                <w:szCs w:val="20"/>
                <w:lang w:eastAsia="de-DE"/>
              </w:rPr>
              <w:t>KLR-Daten</w:t>
            </w:r>
            <w:r>
              <w:rPr>
                <w:rFonts w:eastAsia="Times New Roman" w:cs="Arial"/>
                <w:b/>
                <w:bCs/>
                <w:szCs w:val="20"/>
                <w:lang w:eastAsia="de-DE"/>
              </w:rPr>
              <w:br/>
              <w:t>2015</w:t>
            </w:r>
            <w:r w:rsidRPr="00B16A08">
              <w:rPr>
                <w:rFonts w:eastAsia="Times New Roman" w:cs="Arial"/>
                <w:b/>
                <w:bCs/>
                <w:szCs w:val="20"/>
                <w:lang w:eastAsia="de-DE"/>
              </w:rPr>
              <w:br/>
              <w:t>- €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71C" w:rsidRPr="00FB0845" w:rsidRDefault="0088071C" w:rsidP="005D34AE">
            <w:pPr>
              <w:spacing w:after="0" w:line="240" w:lineRule="auto"/>
              <w:jc w:val="center"/>
              <w:rPr>
                <w:rFonts w:eastAsia="Times New Roman" w:cs="Arial"/>
                <w:b/>
                <w:bCs/>
                <w:szCs w:val="20"/>
                <w:lang w:eastAsia="de-DE"/>
              </w:rPr>
            </w:pPr>
            <w:r w:rsidRPr="00FB0845">
              <w:rPr>
                <w:rFonts w:eastAsia="Times New Roman" w:cs="Arial"/>
                <w:b/>
                <w:bCs/>
                <w:szCs w:val="20"/>
                <w:lang w:eastAsia="de-DE"/>
              </w:rPr>
              <w:t>KLR-Daten</w:t>
            </w:r>
            <w:r w:rsidRPr="00FB0845">
              <w:rPr>
                <w:rFonts w:eastAsia="Times New Roman" w:cs="Arial"/>
                <w:b/>
                <w:bCs/>
                <w:szCs w:val="20"/>
                <w:lang w:eastAsia="de-DE"/>
              </w:rPr>
              <w:br/>
              <w:t>2016</w:t>
            </w:r>
            <w:r w:rsidRPr="00FB0845">
              <w:rPr>
                <w:rFonts w:eastAsia="Times New Roman" w:cs="Arial"/>
                <w:b/>
                <w:bCs/>
                <w:szCs w:val="20"/>
                <w:lang w:eastAsia="de-DE"/>
              </w:rPr>
              <w:br/>
              <w:t>- € -</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88071C" w:rsidRPr="00FB0845" w:rsidRDefault="0088071C" w:rsidP="005D34AE">
            <w:pPr>
              <w:spacing w:after="0" w:line="240" w:lineRule="auto"/>
              <w:jc w:val="center"/>
              <w:rPr>
                <w:rFonts w:eastAsia="Times New Roman" w:cs="Arial"/>
                <w:b/>
                <w:bCs/>
                <w:szCs w:val="20"/>
                <w:lang w:eastAsia="de-DE"/>
              </w:rPr>
            </w:pPr>
            <w:r w:rsidRPr="00FB0845">
              <w:rPr>
                <w:rFonts w:eastAsia="Times New Roman" w:cs="Arial"/>
                <w:b/>
                <w:bCs/>
                <w:szCs w:val="20"/>
                <w:lang w:eastAsia="de-DE"/>
              </w:rPr>
              <w:t>KLR-Daten</w:t>
            </w:r>
            <w:r w:rsidRPr="00FB0845">
              <w:rPr>
                <w:rFonts w:eastAsia="Times New Roman" w:cs="Arial"/>
                <w:b/>
                <w:bCs/>
                <w:szCs w:val="20"/>
                <w:lang w:eastAsia="de-DE"/>
              </w:rPr>
              <w:br/>
              <w:t>2016</w:t>
            </w:r>
            <w:r w:rsidRPr="00FB0845">
              <w:rPr>
                <w:rFonts w:eastAsia="Times New Roman" w:cs="Arial"/>
                <w:b/>
                <w:bCs/>
                <w:szCs w:val="20"/>
                <w:lang w:eastAsia="de-DE"/>
              </w:rPr>
              <w:br/>
            </w:r>
            <w:r w:rsidRPr="00FB0845">
              <w:rPr>
                <w:rFonts w:eastAsia="Times New Roman" w:cs="Arial"/>
                <w:sz w:val="16"/>
                <w:szCs w:val="16"/>
                <w:lang w:eastAsia="de-DE"/>
              </w:rPr>
              <w:t>zzgl.20% Gemeinkostenzuschlag und QuerschnittsFD</w:t>
            </w:r>
            <w:r w:rsidRPr="00FB0845">
              <w:rPr>
                <w:rFonts w:eastAsia="Times New Roman" w:cs="Arial"/>
                <w:sz w:val="16"/>
                <w:szCs w:val="16"/>
                <w:lang w:eastAsia="de-DE"/>
              </w:rPr>
              <w:br/>
              <w:t>- € -</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50</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Personalaufwendungen/-kosten</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Pr>
                <w:rFonts w:eastAsia="Times New Roman" w:cs="Arial"/>
                <w:szCs w:val="20"/>
                <w:lang w:eastAsia="de-DE"/>
              </w:rPr>
              <w:t>1.128.849,38</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1.591.722,90</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2.883.691,78</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 w:val="16"/>
                <w:szCs w:val="16"/>
                <w:lang w:eastAsia="de-DE"/>
              </w:rPr>
            </w:pPr>
            <w:r w:rsidRPr="00B16A08">
              <w:rPr>
                <w:rFonts w:eastAsia="Times New Roman" w:cs="Arial"/>
                <w:sz w:val="16"/>
                <w:szCs w:val="16"/>
                <w:lang w:eastAsia="de-DE"/>
              </w:rPr>
              <w:t>Leistungssachbearbeiter nach AsylbLG</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 </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 w:val="16"/>
                <w:szCs w:val="16"/>
                <w:lang w:eastAsia="de-DE"/>
              </w:rPr>
            </w:pPr>
            <w:r w:rsidRPr="00FB0845">
              <w:rPr>
                <w:rFonts w:eastAsia="Times New Roman" w:cs="Arial"/>
                <w:sz w:val="16"/>
                <w:szCs w:val="16"/>
                <w:lang w:eastAsia="de-DE"/>
              </w:rPr>
              <w:t>622.149,82</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 w:val="16"/>
                <w:szCs w:val="16"/>
                <w:lang w:eastAsia="de-DE"/>
              </w:rPr>
            </w:pPr>
            <w:r w:rsidRPr="00B16A08">
              <w:rPr>
                <w:rFonts w:eastAsia="Times New Roman" w:cs="Arial"/>
                <w:sz w:val="16"/>
                <w:szCs w:val="16"/>
                <w:lang w:eastAsia="de-DE"/>
              </w:rPr>
              <w:t>Sozialarbeiter</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 </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 w:val="16"/>
                <w:szCs w:val="16"/>
                <w:lang w:eastAsia="de-DE"/>
              </w:rPr>
            </w:pPr>
            <w:r w:rsidRPr="00FB0845">
              <w:rPr>
                <w:rFonts w:eastAsia="Times New Roman" w:cs="Arial"/>
                <w:sz w:val="16"/>
                <w:szCs w:val="16"/>
                <w:lang w:eastAsia="de-DE"/>
              </w:rPr>
              <w:t>653.467,85</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 w:val="16"/>
                <w:szCs w:val="16"/>
                <w:lang w:eastAsia="de-DE"/>
              </w:rPr>
            </w:pPr>
            <w:r w:rsidRPr="00B16A08">
              <w:rPr>
                <w:rFonts w:eastAsia="Times New Roman" w:cs="Arial"/>
                <w:sz w:val="16"/>
                <w:szCs w:val="16"/>
                <w:lang w:eastAsia="de-DE"/>
              </w:rPr>
              <w:t>Wohnungsverwaltung</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 </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 w:val="16"/>
                <w:szCs w:val="16"/>
                <w:lang w:eastAsia="de-DE"/>
              </w:rPr>
            </w:pPr>
            <w:r w:rsidRPr="00FB0845">
              <w:rPr>
                <w:rFonts w:eastAsia="Times New Roman" w:cs="Arial"/>
                <w:sz w:val="16"/>
                <w:szCs w:val="16"/>
                <w:lang w:eastAsia="de-DE"/>
              </w:rPr>
              <w:t>757.265,87</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 w:val="16"/>
                <w:szCs w:val="16"/>
                <w:lang w:eastAsia="de-DE"/>
              </w:rPr>
            </w:pPr>
            <w:r w:rsidRPr="00B16A08">
              <w:rPr>
                <w:rFonts w:eastAsia="Times New Roman" w:cs="Arial"/>
                <w:sz w:val="16"/>
                <w:szCs w:val="16"/>
                <w:lang w:eastAsia="de-DE"/>
              </w:rPr>
              <w:t>Hausmeister</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 </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 w:val="16"/>
                <w:szCs w:val="16"/>
                <w:lang w:eastAsia="de-DE"/>
              </w:rPr>
            </w:pPr>
            <w:r w:rsidRPr="00FB0845">
              <w:rPr>
                <w:rFonts w:eastAsia="Times New Roman" w:cs="Arial"/>
                <w:sz w:val="16"/>
                <w:szCs w:val="16"/>
                <w:lang w:eastAsia="de-DE"/>
              </w:rPr>
              <w:t>172.580,03</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 w:val="16"/>
                <w:szCs w:val="16"/>
                <w:lang w:eastAsia="de-DE"/>
              </w:rPr>
            </w:pPr>
            <w:r w:rsidRPr="00B16A08">
              <w:rPr>
                <w:rFonts w:eastAsia="Times New Roman" w:cs="Arial"/>
                <w:sz w:val="16"/>
                <w:szCs w:val="16"/>
                <w:lang w:eastAsia="de-DE"/>
              </w:rPr>
              <w:t xml:space="preserve">sonstige  </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 </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 w:val="16"/>
                <w:szCs w:val="16"/>
                <w:lang w:eastAsia="de-DE"/>
              </w:rPr>
            </w:pPr>
            <w:r w:rsidRPr="00FB0845">
              <w:rPr>
                <w:rFonts w:eastAsia="Times New Roman" w:cs="Arial"/>
                <w:sz w:val="16"/>
                <w:szCs w:val="16"/>
                <w:lang w:eastAsia="de-DE"/>
              </w:rPr>
              <w:t>678.228,22</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51</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Versorgungsaufwendungen/-kosten</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 </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0,00</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52</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Aufwendungen/Kosten für Sach- und Dienstleistungen</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Pr>
                <w:rFonts w:eastAsia="Times New Roman" w:cs="Arial"/>
                <w:szCs w:val="20"/>
                <w:lang w:eastAsia="de-DE"/>
              </w:rPr>
              <w:t>162.516,25</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2.029.432,31</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2.029.432,31</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53</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Transferaufwendungen/-kosten</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23.769,98</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23.769,98</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533900+533901 - Leistungen nach AsylbLG+BuT</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Pr>
                <w:rFonts w:eastAsia="Times New Roman" w:cs="Arial"/>
                <w:szCs w:val="20"/>
                <w:lang w:eastAsia="de-DE"/>
              </w:rPr>
              <w:t>4.083.683,47</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5.070.452,10</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5.070.452,10</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533909 - Kaltmieten</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600.687,62</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1.343.339,74</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1.343.339,74</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533909 - Betriebskosten</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704.313,70</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1.455.040,47</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1.455.040,47</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533909 - Sachausstattung</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871.615,28</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793.733,91</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793.733,91</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533909 - sonstiges</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316.625,11</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1.706.239,08</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1.706.239,08</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23573C" w:rsidRDefault="0088071C" w:rsidP="005D34AE">
            <w:pPr>
              <w:spacing w:after="0" w:line="240" w:lineRule="auto"/>
              <w:jc w:val="right"/>
              <w:rPr>
                <w:rFonts w:eastAsia="Times New Roman" w:cs="Arial"/>
                <w:szCs w:val="20"/>
                <w:lang w:eastAsia="de-DE"/>
              </w:rPr>
            </w:pPr>
            <w:r w:rsidRPr="0023573C">
              <w:rPr>
                <w:rFonts w:eastAsia="Times New Roman" w:cs="Arial"/>
                <w:szCs w:val="20"/>
                <w:lang w:eastAsia="de-DE"/>
              </w:rPr>
              <w:t>533909 - Notunterbringung</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23573C" w:rsidRDefault="0088071C" w:rsidP="00055FEB">
            <w:pPr>
              <w:spacing w:after="0" w:line="240" w:lineRule="auto"/>
              <w:jc w:val="right"/>
              <w:rPr>
                <w:rFonts w:eastAsia="Times New Roman" w:cs="Arial"/>
                <w:szCs w:val="20"/>
                <w:lang w:eastAsia="de-DE"/>
              </w:rPr>
            </w:pPr>
            <w:r w:rsidRPr="0023573C">
              <w:rPr>
                <w:rFonts w:eastAsia="Times New Roman" w:cs="Arial"/>
                <w:szCs w:val="20"/>
                <w:lang w:eastAsia="de-DE"/>
              </w:rPr>
              <w:t> </w:t>
            </w:r>
            <w:r w:rsidR="00055FEB">
              <w:rPr>
                <w:rFonts w:eastAsia="Times New Roman" w:cs="Arial"/>
                <w:szCs w:val="20"/>
                <w:lang w:eastAsia="de-DE"/>
              </w:rPr>
              <w:t>541.174,17</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156.602,84</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156.602,84</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54</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sonstige ordentliche Aufwendungen/Kosten</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78.482,11</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292.754,50</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292.754,50</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tcPr>
          <w:p w:rsidR="0088071C" w:rsidRPr="00B16A08" w:rsidRDefault="0088071C" w:rsidP="005D34AE">
            <w:pPr>
              <w:spacing w:after="0" w:line="240" w:lineRule="auto"/>
              <w:rPr>
                <w:rFonts w:eastAsia="Times New Roman" w:cs="Arial"/>
                <w:szCs w:val="20"/>
                <w:lang w:eastAsia="de-DE"/>
              </w:rPr>
            </w:pPr>
            <w:r>
              <w:rPr>
                <w:rFonts w:eastAsia="Times New Roman" w:cs="Arial"/>
                <w:szCs w:val="20"/>
                <w:lang w:eastAsia="de-DE"/>
              </w:rPr>
              <w:t>57</w:t>
            </w:r>
          </w:p>
        </w:tc>
        <w:tc>
          <w:tcPr>
            <w:tcW w:w="2976" w:type="dxa"/>
            <w:tcBorders>
              <w:top w:val="nil"/>
              <w:left w:val="nil"/>
              <w:bottom w:val="single" w:sz="4" w:space="0" w:color="auto"/>
              <w:right w:val="single" w:sz="4" w:space="0" w:color="auto"/>
            </w:tcBorders>
            <w:shd w:val="clear" w:color="auto" w:fill="auto"/>
            <w:noWrap/>
            <w:vAlign w:val="bottom"/>
          </w:tcPr>
          <w:p w:rsidR="0088071C" w:rsidRPr="00FB0845" w:rsidRDefault="0088071C" w:rsidP="005D34AE">
            <w:pPr>
              <w:spacing w:after="0" w:line="240" w:lineRule="auto"/>
              <w:rPr>
                <w:rFonts w:eastAsia="Times New Roman" w:cs="Arial"/>
                <w:bCs/>
                <w:szCs w:val="20"/>
                <w:lang w:eastAsia="de-DE"/>
              </w:rPr>
            </w:pPr>
            <w:r w:rsidRPr="00FB0845">
              <w:rPr>
                <w:rFonts w:eastAsia="Times New Roman" w:cs="Arial"/>
                <w:bCs/>
                <w:szCs w:val="20"/>
                <w:lang w:eastAsia="de-DE"/>
              </w:rPr>
              <w:t>Abschreibungen</w:t>
            </w:r>
          </w:p>
        </w:tc>
        <w:tc>
          <w:tcPr>
            <w:tcW w:w="1418" w:type="dxa"/>
            <w:tcBorders>
              <w:top w:val="nil"/>
              <w:left w:val="nil"/>
              <w:bottom w:val="single" w:sz="4" w:space="0" w:color="auto"/>
              <w:right w:val="single" w:sz="4" w:space="0" w:color="auto"/>
            </w:tcBorders>
            <w:shd w:val="clear" w:color="auto" w:fill="auto"/>
            <w:noWrap/>
            <w:vAlign w:val="bottom"/>
          </w:tcPr>
          <w:p w:rsidR="0088071C" w:rsidRPr="00B16A08" w:rsidRDefault="0088071C" w:rsidP="005D34AE">
            <w:pPr>
              <w:spacing w:after="0" w:line="240" w:lineRule="auto"/>
              <w:jc w:val="right"/>
              <w:rPr>
                <w:rFonts w:eastAsia="Times New Roman" w:cs="Arial"/>
                <w:b/>
                <w:bCs/>
                <w:szCs w:val="20"/>
                <w:lang w:eastAsia="de-DE"/>
              </w:rPr>
            </w:pPr>
          </w:p>
        </w:tc>
        <w:tc>
          <w:tcPr>
            <w:tcW w:w="1559" w:type="dxa"/>
            <w:tcBorders>
              <w:top w:val="nil"/>
              <w:left w:val="nil"/>
              <w:bottom w:val="single" w:sz="4" w:space="0" w:color="auto"/>
              <w:right w:val="single" w:sz="4" w:space="0" w:color="auto"/>
            </w:tcBorders>
            <w:shd w:val="clear" w:color="auto" w:fill="auto"/>
            <w:noWrap/>
            <w:vAlign w:val="bottom"/>
          </w:tcPr>
          <w:p w:rsidR="0088071C" w:rsidRPr="00FB0845" w:rsidRDefault="0088071C" w:rsidP="005D34AE">
            <w:pPr>
              <w:spacing w:after="0" w:line="240" w:lineRule="auto"/>
              <w:jc w:val="right"/>
              <w:rPr>
                <w:rFonts w:eastAsia="Times New Roman" w:cs="Arial"/>
                <w:bCs/>
                <w:szCs w:val="20"/>
                <w:lang w:eastAsia="de-DE"/>
              </w:rPr>
            </w:pPr>
            <w:r w:rsidRPr="00FB0845">
              <w:rPr>
                <w:rFonts w:eastAsia="Times New Roman" w:cs="Arial"/>
                <w:bCs/>
                <w:szCs w:val="20"/>
                <w:lang w:eastAsia="de-DE"/>
              </w:rPr>
              <w:t>50.816,04</w:t>
            </w:r>
          </w:p>
        </w:tc>
        <w:tc>
          <w:tcPr>
            <w:tcW w:w="1825" w:type="dxa"/>
            <w:tcBorders>
              <w:top w:val="nil"/>
              <w:left w:val="nil"/>
              <w:bottom w:val="single" w:sz="4" w:space="0" w:color="auto"/>
              <w:right w:val="single" w:sz="4" w:space="0" w:color="auto"/>
            </w:tcBorders>
            <w:shd w:val="clear" w:color="auto" w:fill="auto"/>
            <w:noWrap/>
            <w:vAlign w:val="bottom"/>
          </w:tcPr>
          <w:p w:rsidR="0088071C" w:rsidRPr="00FB0845" w:rsidRDefault="0088071C" w:rsidP="005D34AE">
            <w:pPr>
              <w:spacing w:after="0" w:line="240" w:lineRule="auto"/>
              <w:jc w:val="right"/>
              <w:rPr>
                <w:rFonts w:eastAsia="Times New Roman" w:cs="Arial"/>
                <w:bCs/>
                <w:szCs w:val="20"/>
                <w:lang w:eastAsia="de-DE"/>
              </w:rPr>
            </w:pPr>
            <w:r w:rsidRPr="00FB0845">
              <w:rPr>
                <w:rFonts w:eastAsia="Times New Roman" w:cs="Arial"/>
                <w:bCs/>
                <w:szCs w:val="20"/>
                <w:lang w:eastAsia="de-DE"/>
              </w:rPr>
              <w:t>50.816,04</w:t>
            </w:r>
          </w:p>
        </w:tc>
      </w:tr>
      <w:tr w:rsidR="0088071C" w:rsidRPr="006E556F" w:rsidTr="005D34AE">
        <w:trPr>
          <w:cantSplit/>
          <w:trHeight w:val="2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2976"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b/>
                <w:bCs/>
                <w:szCs w:val="20"/>
                <w:lang w:eastAsia="de-DE"/>
              </w:rPr>
            </w:pPr>
            <w:r w:rsidRPr="00B16A08">
              <w:rPr>
                <w:rFonts w:eastAsia="Times New Roman" w:cs="Arial"/>
                <w:b/>
                <w:bCs/>
                <w:szCs w:val="20"/>
                <w:lang w:eastAsia="de-DE"/>
              </w:rPr>
              <w:t>Gesamt</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b/>
                <w:bCs/>
                <w:szCs w:val="20"/>
                <w:lang w:eastAsia="de-DE"/>
              </w:rPr>
            </w:pPr>
            <w:r w:rsidRPr="00B16A08">
              <w:rPr>
                <w:rFonts w:eastAsia="Times New Roman" w:cs="Arial"/>
                <w:b/>
                <w:bCs/>
                <w:szCs w:val="20"/>
                <w:lang w:eastAsia="de-DE"/>
              </w:rPr>
              <w:t>8.487.947,09</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b/>
                <w:bCs/>
                <w:szCs w:val="20"/>
                <w:lang w:eastAsia="de-DE"/>
              </w:rPr>
            </w:pPr>
            <w:r w:rsidRPr="00FB0845">
              <w:rPr>
                <w:rFonts w:eastAsia="Times New Roman" w:cs="Arial"/>
                <w:b/>
                <w:bCs/>
                <w:szCs w:val="20"/>
                <w:lang w:eastAsia="de-DE"/>
              </w:rPr>
              <w:t>14.513.903,87</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b/>
                <w:bCs/>
                <w:szCs w:val="20"/>
                <w:lang w:eastAsia="de-DE"/>
              </w:rPr>
            </w:pPr>
            <w:r w:rsidRPr="00FB0845">
              <w:rPr>
                <w:rFonts w:eastAsia="Times New Roman" w:cs="Arial"/>
                <w:b/>
                <w:bCs/>
                <w:szCs w:val="20"/>
                <w:lang w:eastAsia="de-DE"/>
              </w:rPr>
              <w:t>15.805.872,75</w:t>
            </w:r>
          </w:p>
        </w:tc>
      </w:tr>
      <w:tr w:rsidR="0088071C" w:rsidRPr="006E556F" w:rsidTr="005D34AE">
        <w:trPr>
          <w:cantSplit/>
          <w:trHeight w:val="20"/>
        </w:trPr>
        <w:tc>
          <w:tcPr>
            <w:tcW w:w="4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71C" w:rsidRPr="00B16A08" w:rsidRDefault="0088071C" w:rsidP="00055FEB">
            <w:pPr>
              <w:spacing w:after="0" w:line="240" w:lineRule="auto"/>
              <w:rPr>
                <w:rFonts w:eastAsia="Times New Roman" w:cs="Arial"/>
                <w:i/>
                <w:iCs/>
                <w:szCs w:val="20"/>
                <w:lang w:eastAsia="de-DE"/>
              </w:rPr>
            </w:pPr>
            <w:r w:rsidRPr="00B16A08">
              <w:rPr>
                <w:rFonts w:eastAsia="Times New Roman" w:cs="Arial"/>
                <w:i/>
                <w:iCs/>
                <w:szCs w:val="20"/>
                <w:lang w:eastAsia="de-DE"/>
              </w:rPr>
              <w:t xml:space="preserve">abzüglich </w:t>
            </w:r>
            <w:r w:rsidR="00055FEB">
              <w:rPr>
                <w:rFonts w:eastAsia="Times New Roman" w:cs="Arial"/>
                <w:i/>
                <w:iCs/>
                <w:szCs w:val="20"/>
                <w:lang w:eastAsia="de-DE"/>
              </w:rPr>
              <w:t>realisierte Erträge</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i/>
                <w:iCs/>
                <w:szCs w:val="20"/>
                <w:lang w:eastAsia="de-DE"/>
              </w:rPr>
            </w:pPr>
            <w:r w:rsidRPr="00B16A08">
              <w:rPr>
                <w:rFonts w:eastAsia="Times New Roman" w:cs="Arial"/>
                <w:i/>
                <w:iCs/>
                <w:szCs w:val="20"/>
                <w:lang w:eastAsia="de-DE"/>
              </w:rPr>
              <w:t> 11.771,72</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i/>
                <w:iCs/>
                <w:szCs w:val="20"/>
                <w:lang w:eastAsia="de-DE"/>
              </w:rPr>
            </w:pPr>
            <w:r w:rsidRPr="00FB0845">
              <w:rPr>
                <w:rFonts w:eastAsia="Times New Roman" w:cs="Arial"/>
                <w:i/>
                <w:iCs/>
                <w:szCs w:val="20"/>
                <w:lang w:eastAsia="de-DE"/>
              </w:rPr>
              <w:t>1.651.073,92</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i/>
                <w:iCs/>
                <w:szCs w:val="20"/>
                <w:lang w:eastAsia="de-DE"/>
              </w:rPr>
            </w:pPr>
            <w:r w:rsidRPr="00FB0845">
              <w:rPr>
                <w:rFonts w:eastAsia="Times New Roman" w:cs="Arial"/>
                <w:i/>
                <w:iCs/>
                <w:szCs w:val="20"/>
                <w:lang w:eastAsia="de-DE"/>
              </w:rPr>
              <w:t>1.651.073,92</w:t>
            </w:r>
          </w:p>
        </w:tc>
      </w:tr>
      <w:tr w:rsidR="0088071C" w:rsidRPr="006E556F" w:rsidTr="005D34AE">
        <w:trPr>
          <w:cantSplit/>
          <w:trHeight w:val="20"/>
        </w:trPr>
        <w:tc>
          <w:tcPr>
            <w:tcW w:w="4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71C" w:rsidRDefault="0088071C" w:rsidP="005D34AE">
            <w:pPr>
              <w:spacing w:after="0" w:line="240" w:lineRule="auto"/>
              <w:rPr>
                <w:rFonts w:eastAsia="Times New Roman" w:cs="Arial"/>
                <w:i/>
                <w:iCs/>
                <w:szCs w:val="20"/>
                <w:lang w:eastAsia="de-DE"/>
              </w:rPr>
            </w:pPr>
            <w:r>
              <w:rPr>
                <w:rFonts w:eastAsia="Times New Roman" w:cs="Arial"/>
                <w:i/>
                <w:iCs/>
                <w:szCs w:val="20"/>
                <w:lang w:eastAsia="de-DE"/>
              </w:rPr>
              <w:t xml:space="preserve">anerkannte Aufwendungen im Rahmen </w:t>
            </w:r>
            <w:r w:rsidRPr="00B16A08">
              <w:rPr>
                <w:rFonts w:eastAsia="Times New Roman" w:cs="Arial"/>
                <w:i/>
                <w:iCs/>
                <w:szCs w:val="20"/>
                <w:lang w:eastAsia="de-DE"/>
              </w:rPr>
              <w:t>der</w:t>
            </w:r>
          </w:p>
          <w:p w:rsidR="0088071C" w:rsidRPr="00B16A08" w:rsidRDefault="0088071C" w:rsidP="005D34AE">
            <w:pPr>
              <w:spacing w:after="0" w:line="240" w:lineRule="auto"/>
              <w:rPr>
                <w:rFonts w:eastAsia="Times New Roman" w:cs="Arial"/>
                <w:i/>
                <w:iCs/>
                <w:szCs w:val="20"/>
                <w:lang w:eastAsia="de-DE"/>
              </w:rPr>
            </w:pPr>
            <w:r w:rsidRPr="00B16A08">
              <w:rPr>
                <w:rFonts w:eastAsia="Times New Roman" w:cs="Arial"/>
                <w:i/>
                <w:iCs/>
                <w:szCs w:val="20"/>
                <w:lang w:eastAsia="de-DE"/>
              </w:rPr>
              <w:t>Kostenerstattung</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i/>
                <w:iCs/>
                <w:szCs w:val="20"/>
                <w:lang w:eastAsia="de-DE"/>
              </w:rPr>
            </w:pPr>
            <w:r w:rsidRPr="00B16A08">
              <w:rPr>
                <w:rFonts w:eastAsia="Times New Roman" w:cs="Arial"/>
                <w:i/>
                <w:iCs/>
                <w:szCs w:val="20"/>
                <w:lang w:eastAsia="de-DE"/>
              </w:rPr>
              <w:t> 8.177.790,50</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i/>
                <w:iCs/>
                <w:szCs w:val="20"/>
                <w:lang w:eastAsia="de-DE"/>
              </w:rPr>
            </w:pPr>
            <w:r w:rsidRPr="00FB0845">
              <w:rPr>
                <w:rFonts w:eastAsia="Times New Roman" w:cs="Arial"/>
                <w:i/>
                <w:iCs/>
                <w:szCs w:val="20"/>
                <w:lang w:eastAsia="de-DE"/>
              </w:rPr>
              <w:t>12.933.704,13</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i/>
                <w:iCs/>
                <w:szCs w:val="20"/>
                <w:lang w:eastAsia="de-DE"/>
              </w:rPr>
            </w:pPr>
            <w:r w:rsidRPr="00FB0845">
              <w:rPr>
                <w:rFonts w:eastAsia="Times New Roman" w:cs="Arial"/>
                <w:i/>
                <w:iCs/>
                <w:szCs w:val="20"/>
                <w:lang w:eastAsia="de-DE"/>
              </w:rPr>
              <w:t>12.933.704,13</w:t>
            </w:r>
          </w:p>
        </w:tc>
      </w:tr>
      <w:tr w:rsidR="0088071C" w:rsidRPr="006E556F" w:rsidTr="005D34AE">
        <w:trPr>
          <w:cantSplit/>
          <w:trHeight w:val="20"/>
        </w:trPr>
        <w:tc>
          <w:tcPr>
            <w:tcW w:w="4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71C" w:rsidRPr="00B16A08" w:rsidRDefault="0088071C" w:rsidP="005D34AE">
            <w:pPr>
              <w:spacing w:after="0" w:line="240" w:lineRule="auto"/>
              <w:rPr>
                <w:rFonts w:eastAsia="Times New Roman" w:cs="Arial"/>
                <w:i/>
                <w:iCs/>
                <w:szCs w:val="20"/>
                <w:lang w:eastAsia="de-DE"/>
              </w:rPr>
            </w:pPr>
            <w:r w:rsidRPr="00B16A08">
              <w:rPr>
                <w:rFonts w:eastAsia="Times New Roman" w:cs="Arial"/>
                <w:i/>
                <w:iCs/>
                <w:szCs w:val="20"/>
                <w:lang w:eastAsia="de-DE"/>
              </w:rPr>
              <w:t>Differenz</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i/>
                <w:iCs/>
                <w:szCs w:val="20"/>
                <w:lang w:eastAsia="de-DE"/>
              </w:rPr>
            </w:pPr>
            <w:r w:rsidRPr="00B16A08">
              <w:rPr>
                <w:rFonts w:eastAsia="Times New Roman" w:cs="Arial"/>
                <w:i/>
                <w:iCs/>
                <w:szCs w:val="20"/>
                <w:lang w:eastAsia="de-DE"/>
              </w:rPr>
              <w:t> </w:t>
            </w:r>
            <w:r>
              <w:rPr>
                <w:rFonts w:eastAsia="Times New Roman" w:cs="Arial"/>
                <w:i/>
                <w:iCs/>
                <w:szCs w:val="20"/>
                <w:lang w:eastAsia="de-DE"/>
              </w:rPr>
              <w:t>298.384,87</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i/>
                <w:iCs/>
                <w:szCs w:val="20"/>
                <w:lang w:eastAsia="de-DE"/>
              </w:rPr>
            </w:pPr>
            <w:r w:rsidRPr="00FB0845">
              <w:rPr>
                <w:rFonts w:eastAsia="Times New Roman" w:cs="Arial"/>
                <w:i/>
                <w:iCs/>
                <w:szCs w:val="20"/>
                <w:lang w:eastAsia="de-DE"/>
              </w:rPr>
              <w:t>-70.874,18</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i/>
                <w:iCs/>
                <w:szCs w:val="20"/>
                <w:lang w:eastAsia="de-DE"/>
              </w:rPr>
            </w:pPr>
            <w:r w:rsidRPr="00FB0845">
              <w:rPr>
                <w:rFonts w:eastAsia="Times New Roman" w:cs="Arial"/>
                <w:i/>
                <w:iCs/>
                <w:szCs w:val="20"/>
                <w:lang w:eastAsia="de-DE"/>
              </w:rPr>
              <w:t>1.221.094,70</w:t>
            </w:r>
          </w:p>
        </w:tc>
      </w:tr>
      <w:tr w:rsidR="0088071C" w:rsidRPr="006E556F" w:rsidTr="005D34AE">
        <w:trPr>
          <w:cantSplit/>
          <w:trHeight w:val="161"/>
        </w:trPr>
        <w:tc>
          <w:tcPr>
            <w:tcW w:w="1565" w:type="dxa"/>
            <w:tcBorders>
              <w:top w:val="nil"/>
              <w:left w:val="nil"/>
              <w:bottom w:val="nil"/>
              <w:right w:val="nil"/>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p>
        </w:tc>
        <w:tc>
          <w:tcPr>
            <w:tcW w:w="2976" w:type="dxa"/>
            <w:tcBorders>
              <w:top w:val="nil"/>
              <w:left w:val="nil"/>
              <w:bottom w:val="nil"/>
              <w:right w:val="nil"/>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p>
        </w:tc>
        <w:tc>
          <w:tcPr>
            <w:tcW w:w="1418" w:type="dxa"/>
            <w:tcBorders>
              <w:top w:val="nil"/>
              <w:left w:val="nil"/>
              <w:bottom w:val="nil"/>
              <w:right w:val="nil"/>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p>
        </w:tc>
        <w:tc>
          <w:tcPr>
            <w:tcW w:w="1559" w:type="dxa"/>
            <w:tcBorders>
              <w:top w:val="nil"/>
              <w:left w:val="nil"/>
              <w:bottom w:val="nil"/>
              <w:right w:val="nil"/>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p>
        </w:tc>
        <w:tc>
          <w:tcPr>
            <w:tcW w:w="1825" w:type="dxa"/>
            <w:tcBorders>
              <w:top w:val="nil"/>
              <w:left w:val="nil"/>
              <w:bottom w:val="nil"/>
              <w:right w:val="nil"/>
            </w:tcBorders>
            <w:shd w:val="clear" w:color="auto" w:fill="auto"/>
            <w:noWrap/>
            <w:vAlign w:val="bottom"/>
            <w:hideMark/>
          </w:tcPr>
          <w:p w:rsidR="0088071C" w:rsidRPr="00FB0845" w:rsidRDefault="0088071C" w:rsidP="005D34AE">
            <w:pPr>
              <w:spacing w:after="0" w:line="240" w:lineRule="auto"/>
              <w:rPr>
                <w:rFonts w:eastAsia="Times New Roman" w:cs="Arial"/>
                <w:sz w:val="16"/>
                <w:szCs w:val="16"/>
                <w:lang w:eastAsia="de-DE"/>
              </w:rPr>
            </w:pPr>
          </w:p>
        </w:tc>
      </w:tr>
      <w:tr w:rsidR="0088071C" w:rsidRPr="006E556F" w:rsidTr="005D34AE">
        <w:trPr>
          <w:cantSplit/>
          <w:trHeight w:val="20"/>
        </w:trPr>
        <w:tc>
          <w:tcPr>
            <w:tcW w:w="4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Durchschnittliche Anzahl nicht dauerhaft aufenthaltsberechtigter Ausländer</w:t>
            </w:r>
            <w:r>
              <w:rPr>
                <w:rFonts w:eastAsia="Times New Roman" w:cs="Arial"/>
                <w:szCs w:val="20"/>
                <w:lang w:eastAsia="de-DE"/>
              </w:rPr>
              <w:t xml:space="preserve"> </w:t>
            </w:r>
            <w:r w:rsidRPr="006873CE">
              <w:rPr>
                <w:rFonts w:eastAsia="Times New Roman" w:cs="Arial"/>
                <w:sz w:val="16"/>
                <w:szCs w:val="16"/>
                <w:lang w:eastAsia="de-DE"/>
              </w:rPr>
              <w:t>(aus der Fachanwendung „Prosoz“)</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b/>
                <w:bCs/>
                <w:szCs w:val="20"/>
                <w:lang w:eastAsia="de-DE"/>
              </w:rPr>
            </w:pPr>
            <w:r>
              <w:rPr>
                <w:rFonts w:eastAsia="Times New Roman" w:cs="Arial"/>
                <w:b/>
                <w:bCs/>
                <w:szCs w:val="20"/>
                <w:lang w:eastAsia="de-DE"/>
              </w:rPr>
              <w:t>879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b/>
                <w:bCs/>
                <w:szCs w:val="20"/>
                <w:lang w:eastAsia="de-DE"/>
              </w:rPr>
            </w:pPr>
            <w:r w:rsidRPr="00FB0845">
              <w:rPr>
                <w:rFonts w:eastAsia="Times New Roman" w:cs="Arial"/>
                <w:b/>
                <w:bCs/>
                <w:szCs w:val="20"/>
                <w:lang w:eastAsia="de-DE"/>
              </w:rPr>
              <w:t>1069</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b/>
                <w:bCs/>
                <w:szCs w:val="20"/>
                <w:lang w:eastAsia="de-DE"/>
              </w:rPr>
            </w:pPr>
            <w:r w:rsidRPr="00FB0845">
              <w:rPr>
                <w:rFonts w:eastAsia="Times New Roman" w:cs="Arial"/>
                <w:b/>
                <w:bCs/>
                <w:szCs w:val="20"/>
                <w:lang w:eastAsia="de-DE"/>
              </w:rPr>
              <w:t>1069</w:t>
            </w:r>
          </w:p>
        </w:tc>
      </w:tr>
      <w:tr w:rsidR="0088071C" w:rsidRPr="006E556F" w:rsidTr="005D34AE">
        <w:trPr>
          <w:cantSplit/>
          <w:trHeight w:val="187"/>
        </w:trPr>
        <w:tc>
          <w:tcPr>
            <w:tcW w:w="1565" w:type="dxa"/>
            <w:tcBorders>
              <w:top w:val="nil"/>
              <w:left w:val="nil"/>
              <w:bottom w:val="nil"/>
              <w:right w:val="nil"/>
            </w:tcBorders>
            <w:shd w:val="clear" w:color="auto" w:fill="auto"/>
            <w:noWrap/>
            <w:vAlign w:val="bottom"/>
            <w:hideMark/>
          </w:tcPr>
          <w:p w:rsidR="0088071C" w:rsidRPr="00B16A08" w:rsidRDefault="0088071C" w:rsidP="005D34AE">
            <w:pPr>
              <w:spacing w:after="0" w:line="240" w:lineRule="auto"/>
              <w:rPr>
                <w:rFonts w:eastAsia="Times New Roman" w:cs="Arial"/>
                <w:color w:val="FF0000"/>
                <w:szCs w:val="20"/>
                <w:lang w:eastAsia="de-DE"/>
              </w:rPr>
            </w:pPr>
          </w:p>
        </w:tc>
        <w:tc>
          <w:tcPr>
            <w:tcW w:w="2976" w:type="dxa"/>
            <w:tcBorders>
              <w:top w:val="nil"/>
              <w:left w:val="nil"/>
              <w:bottom w:val="nil"/>
              <w:right w:val="nil"/>
            </w:tcBorders>
            <w:shd w:val="clear" w:color="auto" w:fill="auto"/>
            <w:noWrap/>
            <w:vAlign w:val="bottom"/>
            <w:hideMark/>
          </w:tcPr>
          <w:p w:rsidR="0088071C" w:rsidRPr="00B16A08" w:rsidRDefault="0088071C" w:rsidP="005D34AE">
            <w:pPr>
              <w:spacing w:after="0" w:line="240" w:lineRule="auto"/>
              <w:rPr>
                <w:rFonts w:eastAsia="Times New Roman" w:cs="Arial"/>
                <w:color w:val="FF0000"/>
                <w:szCs w:val="20"/>
                <w:lang w:eastAsia="de-DE"/>
              </w:rPr>
            </w:pPr>
          </w:p>
        </w:tc>
        <w:tc>
          <w:tcPr>
            <w:tcW w:w="1418" w:type="dxa"/>
            <w:tcBorders>
              <w:top w:val="nil"/>
              <w:left w:val="nil"/>
              <w:bottom w:val="nil"/>
              <w:right w:val="nil"/>
            </w:tcBorders>
            <w:shd w:val="clear" w:color="auto" w:fill="auto"/>
            <w:noWrap/>
            <w:vAlign w:val="bottom"/>
            <w:hideMark/>
          </w:tcPr>
          <w:p w:rsidR="0088071C" w:rsidRPr="00B16A08" w:rsidRDefault="0088071C" w:rsidP="005D34AE">
            <w:pPr>
              <w:spacing w:after="0" w:line="240" w:lineRule="auto"/>
              <w:rPr>
                <w:rFonts w:eastAsia="Times New Roman" w:cs="Arial"/>
                <w:color w:val="FF0000"/>
                <w:szCs w:val="20"/>
                <w:lang w:eastAsia="de-DE"/>
              </w:rPr>
            </w:pPr>
          </w:p>
        </w:tc>
        <w:tc>
          <w:tcPr>
            <w:tcW w:w="1559" w:type="dxa"/>
            <w:tcBorders>
              <w:top w:val="nil"/>
              <w:left w:val="nil"/>
              <w:bottom w:val="nil"/>
              <w:right w:val="nil"/>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p>
        </w:tc>
        <w:tc>
          <w:tcPr>
            <w:tcW w:w="1825" w:type="dxa"/>
            <w:tcBorders>
              <w:top w:val="nil"/>
              <w:left w:val="nil"/>
              <w:bottom w:val="nil"/>
              <w:right w:val="nil"/>
            </w:tcBorders>
            <w:shd w:val="clear" w:color="auto" w:fill="auto"/>
            <w:noWrap/>
            <w:vAlign w:val="bottom"/>
            <w:hideMark/>
          </w:tcPr>
          <w:p w:rsidR="0088071C" w:rsidRPr="00FB0845" w:rsidRDefault="0088071C" w:rsidP="005D34AE">
            <w:pPr>
              <w:spacing w:after="0" w:line="240" w:lineRule="auto"/>
              <w:rPr>
                <w:rFonts w:eastAsia="Times New Roman" w:cs="Arial"/>
                <w:sz w:val="16"/>
                <w:szCs w:val="16"/>
                <w:lang w:eastAsia="de-DE"/>
              </w:rPr>
            </w:pPr>
          </w:p>
        </w:tc>
      </w:tr>
      <w:tr w:rsidR="0088071C" w:rsidRPr="006E556F" w:rsidTr="005D34AE">
        <w:trPr>
          <w:cantSplit/>
          <w:trHeight w:val="275"/>
        </w:trPr>
        <w:tc>
          <w:tcPr>
            <w:tcW w:w="4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Kosten je Asylbewerber (komplett)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9.656,37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13.577,09</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14.785,66</w:t>
            </w:r>
          </w:p>
        </w:tc>
      </w:tr>
      <w:tr w:rsidR="0088071C" w:rsidRPr="006E556F" w:rsidTr="005D34AE">
        <w:trPr>
          <w:cantSplit/>
          <w:trHeight w:val="20"/>
        </w:trPr>
        <w:tc>
          <w:tcPr>
            <w:tcW w:w="4541" w:type="dxa"/>
            <w:gridSpan w:val="2"/>
            <w:tcBorders>
              <w:top w:val="nil"/>
              <w:left w:val="single" w:sz="4" w:space="0" w:color="auto"/>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Tagessatz (komplett)</w:t>
            </w:r>
          </w:p>
        </w:tc>
        <w:tc>
          <w:tcPr>
            <w:tcW w:w="1418" w:type="dxa"/>
            <w:tcBorders>
              <w:top w:val="nil"/>
              <w:left w:val="nil"/>
              <w:bottom w:val="single" w:sz="4" w:space="0" w:color="auto"/>
              <w:right w:val="single" w:sz="4" w:space="0" w:color="auto"/>
            </w:tcBorders>
            <w:shd w:val="clear" w:color="auto" w:fill="auto"/>
            <w:noWrap/>
            <w:vAlign w:val="bottom"/>
            <w:hideMark/>
          </w:tcPr>
          <w:p w:rsidR="0088071C" w:rsidRPr="00B16A08" w:rsidRDefault="0088071C" w:rsidP="005D34AE">
            <w:pPr>
              <w:spacing w:after="0" w:line="240" w:lineRule="auto"/>
              <w:jc w:val="right"/>
              <w:rPr>
                <w:rFonts w:eastAsia="Times New Roman" w:cs="Arial"/>
                <w:szCs w:val="20"/>
                <w:lang w:eastAsia="de-DE"/>
              </w:rPr>
            </w:pPr>
            <w:r w:rsidRPr="00B16A08">
              <w:rPr>
                <w:rFonts w:eastAsia="Times New Roman" w:cs="Arial"/>
                <w:szCs w:val="20"/>
                <w:lang w:eastAsia="de-DE"/>
              </w:rPr>
              <w:t>26,46</w:t>
            </w: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37,20</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40,51</w:t>
            </w:r>
          </w:p>
        </w:tc>
      </w:tr>
      <w:tr w:rsidR="0088071C" w:rsidRPr="006E556F" w:rsidTr="005D34AE">
        <w:trPr>
          <w:cantSplit/>
          <w:trHeight w:val="20"/>
        </w:trPr>
        <w:tc>
          <w:tcPr>
            <w:tcW w:w="454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Kosten je Asylbewerber</w:t>
            </w:r>
            <w:r w:rsidRPr="00B16A08">
              <w:rPr>
                <w:rFonts w:eastAsia="Times New Roman" w:cs="Arial"/>
                <w:szCs w:val="20"/>
                <w:lang w:eastAsia="de-DE"/>
              </w:rPr>
              <w:br/>
              <w:t>(ohne Personalkosten der LeistungsSB AsylbLG)</w:t>
            </w:r>
          </w:p>
        </w:tc>
        <w:tc>
          <w:tcPr>
            <w:tcW w:w="1418" w:type="dxa"/>
            <w:tcBorders>
              <w:top w:val="nil"/>
              <w:left w:val="nil"/>
              <w:bottom w:val="single" w:sz="4" w:space="0" w:color="auto"/>
              <w:right w:val="single" w:sz="4" w:space="0" w:color="auto"/>
            </w:tcBorders>
            <w:shd w:val="pct75" w:color="000000" w:fill="A6A6A6"/>
            <w:noWrap/>
            <w:vAlign w:val="bottom"/>
            <w:hideMark/>
          </w:tcPr>
          <w:p w:rsidR="0088071C" w:rsidRPr="00B16A08" w:rsidRDefault="0088071C" w:rsidP="005D34AE">
            <w:pPr>
              <w:spacing w:after="0" w:line="240" w:lineRule="auto"/>
              <w:rPr>
                <w:rFonts w:eastAsia="Times New Roman" w:cs="Arial"/>
                <w:szCs w:val="20"/>
                <w:lang w:eastAsia="de-DE"/>
              </w:rPr>
            </w:pPr>
            <w:r w:rsidRPr="00B16A08">
              <w:rPr>
                <w:rFonts w:eastAsia="Times New Roman" w:cs="Arial"/>
                <w:szCs w:val="20"/>
                <w:lang w:eastAsia="de-DE"/>
              </w:rPr>
              <w:t> </w:t>
            </w:r>
          </w:p>
        </w:tc>
        <w:tc>
          <w:tcPr>
            <w:tcW w:w="1559" w:type="dxa"/>
            <w:tcBorders>
              <w:top w:val="nil"/>
              <w:left w:val="nil"/>
              <w:bottom w:val="single" w:sz="4" w:space="0" w:color="auto"/>
              <w:right w:val="single" w:sz="4" w:space="0" w:color="auto"/>
            </w:tcBorders>
            <w:shd w:val="pct75" w:color="000000" w:fill="A6A6A6"/>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 </w:t>
            </w:r>
          </w:p>
        </w:tc>
        <w:tc>
          <w:tcPr>
            <w:tcW w:w="1825"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14.536,89</w:t>
            </w:r>
          </w:p>
        </w:tc>
      </w:tr>
    </w:tbl>
    <w:p w:rsidR="0088071C" w:rsidRDefault="0088071C" w:rsidP="0088071C">
      <w:pPr>
        <w:spacing w:after="0" w:line="240" w:lineRule="auto"/>
        <w:jc w:val="both"/>
        <w:rPr>
          <w:color w:val="6600CC"/>
          <w:sz w:val="24"/>
          <w:szCs w:val="24"/>
        </w:rPr>
      </w:pPr>
    </w:p>
    <w:p w:rsidR="0088071C" w:rsidRPr="00FB0845" w:rsidRDefault="0088071C" w:rsidP="001322FC">
      <w:pPr>
        <w:spacing w:after="0"/>
        <w:jc w:val="both"/>
        <w:rPr>
          <w:sz w:val="24"/>
          <w:szCs w:val="24"/>
        </w:rPr>
      </w:pPr>
      <w:r w:rsidRPr="00FB0845">
        <w:rPr>
          <w:sz w:val="24"/>
          <w:szCs w:val="24"/>
        </w:rPr>
        <w:t>Berechnung der Kosten je Asylbewerber anhand der quartalsweise ermittelten Personen-/Fallzahlen (Land)</w:t>
      </w:r>
    </w:p>
    <w:tbl>
      <w:tblPr>
        <w:tblpPr w:leftFromText="141" w:rightFromText="141" w:vertAnchor="text" w:horzAnchor="margin" w:tblpX="70" w:tblpY="130"/>
        <w:tblW w:w="9356" w:type="dxa"/>
        <w:tblCellMar>
          <w:left w:w="70" w:type="dxa"/>
          <w:right w:w="70" w:type="dxa"/>
        </w:tblCellMar>
        <w:tblLook w:val="04A0" w:firstRow="1" w:lastRow="0" w:firstColumn="1" w:lastColumn="0" w:noHBand="0" w:noVBand="1"/>
      </w:tblPr>
      <w:tblGrid>
        <w:gridCol w:w="2105"/>
        <w:gridCol w:w="2431"/>
        <w:gridCol w:w="1418"/>
        <w:gridCol w:w="1559"/>
        <w:gridCol w:w="1843"/>
      </w:tblGrid>
      <w:tr w:rsidR="0088071C" w:rsidRPr="00FB0845" w:rsidTr="005D34AE">
        <w:trPr>
          <w:trHeight w:val="41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 xml:space="preserve">Durchschnittliche Anzahl nicht dauerhaft aufenthaltsberechtigter Ausländer </w:t>
            </w:r>
            <w:r w:rsidRPr="00FB0845">
              <w:rPr>
                <w:rFonts w:eastAsia="Times New Roman" w:cs="Arial"/>
                <w:b/>
                <w:sz w:val="16"/>
                <w:szCs w:val="16"/>
                <w:lang w:eastAsia="de-DE"/>
              </w:rPr>
              <w:t>(Zahl vom Land)</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071C" w:rsidRPr="00FB0845" w:rsidRDefault="0088071C" w:rsidP="005D34AE">
            <w:pPr>
              <w:spacing w:after="0" w:line="240" w:lineRule="auto"/>
              <w:jc w:val="right"/>
              <w:rPr>
                <w:rFonts w:eastAsia="Times New Roman" w:cs="Arial"/>
                <w:b/>
                <w:bCs/>
                <w:szCs w:val="20"/>
                <w:lang w:eastAsia="de-DE"/>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b/>
                <w:bCs/>
                <w:szCs w:val="20"/>
                <w:lang w:eastAsia="de-DE"/>
              </w:rPr>
            </w:pPr>
            <w:r w:rsidRPr="00FB0845">
              <w:rPr>
                <w:rFonts w:eastAsia="Times New Roman" w:cs="Arial"/>
                <w:b/>
                <w:bCs/>
                <w:szCs w:val="20"/>
                <w:lang w:eastAsia="de-DE"/>
              </w:rPr>
              <w:t>1041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b/>
                <w:bCs/>
                <w:szCs w:val="20"/>
                <w:lang w:eastAsia="de-DE"/>
              </w:rPr>
            </w:pPr>
            <w:r w:rsidRPr="00FB0845">
              <w:rPr>
                <w:rFonts w:eastAsia="Times New Roman" w:cs="Arial"/>
                <w:b/>
                <w:bCs/>
                <w:szCs w:val="20"/>
                <w:lang w:eastAsia="de-DE"/>
              </w:rPr>
              <w:t>1041</w:t>
            </w:r>
          </w:p>
        </w:tc>
      </w:tr>
      <w:tr w:rsidR="0088071C" w:rsidRPr="00FB0845" w:rsidTr="005D34AE">
        <w:trPr>
          <w:trHeight w:val="83"/>
        </w:trPr>
        <w:tc>
          <w:tcPr>
            <w:tcW w:w="2105" w:type="dxa"/>
            <w:tcBorders>
              <w:top w:val="nil"/>
              <w:left w:val="nil"/>
              <w:bottom w:val="nil"/>
              <w:right w:val="nil"/>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p>
        </w:tc>
        <w:tc>
          <w:tcPr>
            <w:tcW w:w="2431" w:type="dxa"/>
            <w:tcBorders>
              <w:top w:val="nil"/>
              <w:left w:val="nil"/>
              <w:bottom w:val="nil"/>
              <w:right w:val="nil"/>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p>
        </w:tc>
        <w:tc>
          <w:tcPr>
            <w:tcW w:w="1418" w:type="dxa"/>
            <w:tcBorders>
              <w:top w:val="nil"/>
              <w:left w:val="nil"/>
              <w:bottom w:val="nil"/>
              <w:right w:val="nil"/>
            </w:tcBorders>
            <w:shd w:val="clear" w:color="auto" w:fill="auto"/>
            <w:noWrap/>
            <w:vAlign w:val="bottom"/>
          </w:tcPr>
          <w:p w:rsidR="0088071C" w:rsidRPr="00FB0845" w:rsidRDefault="0088071C" w:rsidP="005D34AE">
            <w:pPr>
              <w:spacing w:after="0" w:line="240" w:lineRule="auto"/>
              <w:rPr>
                <w:rFonts w:eastAsia="Times New Roman" w:cs="Arial"/>
                <w:szCs w:val="20"/>
                <w:lang w:eastAsia="de-DE"/>
              </w:rPr>
            </w:pPr>
          </w:p>
        </w:tc>
        <w:tc>
          <w:tcPr>
            <w:tcW w:w="1559" w:type="dxa"/>
            <w:tcBorders>
              <w:top w:val="nil"/>
              <w:left w:val="nil"/>
              <w:bottom w:val="nil"/>
              <w:right w:val="nil"/>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p>
        </w:tc>
        <w:tc>
          <w:tcPr>
            <w:tcW w:w="1843" w:type="dxa"/>
            <w:tcBorders>
              <w:top w:val="nil"/>
              <w:left w:val="nil"/>
              <w:bottom w:val="nil"/>
              <w:right w:val="nil"/>
            </w:tcBorders>
            <w:shd w:val="clear" w:color="auto" w:fill="auto"/>
            <w:noWrap/>
            <w:vAlign w:val="bottom"/>
            <w:hideMark/>
          </w:tcPr>
          <w:p w:rsidR="0088071C" w:rsidRPr="00FB0845" w:rsidRDefault="0088071C" w:rsidP="005D34AE">
            <w:pPr>
              <w:spacing w:after="0" w:line="240" w:lineRule="auto"/>
              <w:rPr>
                <w:rFonts w:eastAsia="Times New Roman" w:cs="Arial"/>
                <w:sz w:val="16"/>
                <w:szCs w:val="16"/>
                <w:lang w:eastAsia="de-DE"/>
              </w:rPr>
            </w:pPr>
          </w:p>
        </w:tc>
      </w:tr>
      <w:tr w:rsidR="0088071C" w:rsidRPr="00FB0845" w:rsidTr="005D34AE">
        <w:trPr>
          <w:trHeight w:val="25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Kosten je Asylbewerber (komplett)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071C" w:rsidRPr="00FB0845" w:rsidRDefault="0088071C" w:rsidP="005D34AE">
            <w:pPr>
              <w:spacing w:after="0" w:line="240" w:lineRule="auto"/>
              <w:jc w:val="right"/>
              <w:rPr>
                <w:rFonts w:eastAsia="Times New Roman" w:cs="Arial"/>
                <w:szCs w:val="20"/>
                <w:lang w:eastAsia="de-DE"/>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13.942,27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15.183,36</w:t>
            </w:r>
          </w:p>
        </w:tc>
      </w:tr>
      <w:tr w:rsidR="0088071C" w:rsidRPr="00FB0845" w:rsidTr="005D34AE">
        <w:trPr>
          <w:trHeight w:val="307"/>
        </w:trPr>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rPr>
                <w:rFonts w:eastAsia="Times New Roman" w:cs="Arial"/>
                <w:szCs w:val="20"/>
                <w:lang w:eastAsia="de-DE"/>
              </w:rPr>
            </w:pPr>
            <w:r w:rsidRPr="00FB0845">
              <w:rPr>
                <w:rFonts w:eastAsia="Times New Roman" w:cs="Arial"/>
                <w:szCs w:val="20"/>
                <w:lang w:eastAsia="de-DE"/>
              </w:rPr>
              <w:t>Tagessatz (komplett)</w:t>
            </w:r>
          </w:p>
        </w:tc>
        <w:tc>
          <w:tcPr>
            <w:tcW w:w="1418" w:type="dxa"/>
            <w:tcBorders>
              <w:top w:val="nil"/>
              <w:left w:val="nil"/>
              <w:bottom w:val="single" w:sz="4" w:space="0" w:color="auto"/>
              <w:right w:val="single" w:sz="4" w:space="0" w:color="auto"/>
            </w:tcBorders>
            <w:shd w:val="clear" w:color="auto" w:fill="auto"/>
            <w:noWrap/>
            <w:vAlign w:val="bottom"/>
          </w:tcPr>
          <w:p w:rsidR="0088071C" w:rsidRPr="00FB0845" w:rsidRDefault="0088071C" w:rsidP="005D34AE">
            <w:pPr>
              <w:spacing w:after="0" w:line="240" w:lineRule="auto"/>
              <w:jc w:val="right"/>
              <w:rPr>
                <w:rFonts w:eastAsia="Times New Roman" w:cs="Arial"/>
                <w:szCs w:val="20"/>
                <w:lang w:eastAsia="de-DE"/>
              </w:rPr>
            </w:pPr>
          </w:p>
        </w:tc>
        <w:tc>
          <w:tcPr>
            <w:tcW w:w="1559"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38,20</w:t>
            </w:r>
          </w:p>
        </w:tc>
        <w:tc>
          <w:tcPr>
            <w:tcW w:w="1843" w:type="dxa"/>
            <w:tcBorders>
              <w:top w:val="nil"/>
              <w:left w:val="nil"/>
              <w:bottom w:val="single" w:sz="4" w:space="0" w:color="auto"/>
              <w:right w:val="single" w:sz="4" w:space="0" w:color="auto"/>
            </w:tcBorders>
            <w:shd w:val="clear" w:color="auto" w:fill="auto"/>
            <w:noWrap/>
            <w:vAlign w:val="bottom"/>
            <w:hideMark/>
          </w:tcPr>
          <w:p w:rsidR="0088071C" w:rsidRPr="00FB0845" w:rsidRDefault="0088071C" w:rsidP="005D34AE">
            <w:pPr>
              <w:spacing w:after="0" w:line="240" w:lineRule="auto"/>
              <w:jc w:val="right"/>
              <w:rPr>
                <w:rFonts w:eastAsia="Times New Roman" w:cs="Arial"/>
                <w:szCs w:val="20"/>
                <w:lang w:eastAsia="de-DE"/>
              </w:rPr>
            </w:pPr>
            <w:r w:rsidRPr="00FB0845">
              <w:rPr>
                <w:rFonts w:eastAsia="Times New Roman" w:cs="Arial"/>
                <w:szCs w:val="20"/>
                <w:lang w:eastAsia="de-DE"/>
              </w:rPr>
              <w:t>41,60</w:t>
            </w:r>
          </w:p>
        </w:tc>
      </w:tr>
    </w:tbl>
    <w:p w:rsidR="0088071C" w:rsidRPr="00FB0845" w:rsidRDefault="0088071C" w:rsidP="001322FC">
      <w:pPr>
        <w:spacing w:after="0"/>
        <w:jc w:val="both"/>
        <w:rPr>
          <w:rFonts w:eastAsia="Times New Roman" w:cs="Arial"/>
          <w:sz w:val="24"/>
          <w:szCs w:val="24"/>
          <w:lang w:eastAsia="de-DE"/>
        </w:rPr>
      </w:pPr>
    </w:p>
    <w:p w:rsidR="0088071C" w:rsidRPr="00FB0845" w:rsidRDefault="0088071C" w:rsidP="001322FC">
      <w:pPr>
        <w:spacing w:after="0"/>
        <w:jc w:val="both"/>
        <w:rPr>
          <w:rFonts w:eastAsia="Times New Roman" w:cs="Arial"/>
          <w:sz w:val="24"/>
          <w:szCs w:val="24"/>
          <w:lang w:eastAsia="de-DE"/>
        </w:rPr>
      </w:pPr>
      <w:r w:rsidRPr="00FB0845">
        <w:rPr>
          <w:rFonts w:eastAsia="Times New Roman" w:cs="Arial"/>
          <w:sz w:val="24"/>
          <w:szCs w:val="24"/>
          <w:lang w:eastAsia="de-DE"/>
        </w:rPr>
        <w:t>In obiger Tabelle verzeichnen sich analog der Vorjahresbetrachtung 2014/2015 erhebliche Kostensteigerungen im Vergleich des Jahres 2015 zu 2016. Auch hier liegt der Anstieg wiederum in allen Kostenpositionen (Personalkosten, den Sach- und Dienstleistungsaufwendungen, sonstige Kosten).</w:t>
      </w:r>
    </w:p>
    <w:p w:rsidR="0088071C" w:rsidRPr="00FB0845" w:rsidRDefault="0088071C" w:rsidP="001322FC">
      <w:pPr>
        <w:spacing w:after="0"/>
        <w:rPr>
          <w:rFonts w:eastAsia="Times New Roman" w:cs="Arial"/>
          <w:sz w:val="24"/>
          <w:szCs w:val="24"/>
          <w:lang w:eastAsia="de-DE"/>
        </w:rPr>
      </w:pPr>
    </w:p>
    <w:p w:rsidR="0088071C" w:rsidRPr="00FB0845" w:rsidRDefault="0088071C" w:rsidP="001322FC">
      <w:pPr>
        <w:spacing w:after="0"/>
        <w:jc w:val="both"/>
        <w:rPr>
          <w:color w:val="6600CC"/>
          <w:sz w:val="24"/>
          <w:szCs w:val="24"/>
        </w:rPr>
      </w:pPr>
      <w:r w:rsidRPr="00FB0845">
        <w:rPr>
          <w:rFonts w:eastAsia="Times New Roman" w:cs="Arial"/>
          <w:sz w:val="24"/>
          <w:szCs w:val="24"/>
          <w:lang w:eastAsia="de-DE"/>
        </w:rPr>
        <w:t>Dies ist mit der hohen Anzahl zu betreuender Ausländer/Flüchtlinge zum Jahresende 2015 (1.533 Personen) und Jahresanfang 2016 zu begründen. Aufgrund der Mitte des Jahres 2015 stetig gestiegenen Flüchtlingszahlen wurde für eine entsprechende Betreuung und Bearbeitung der Anträge mit Personal nachgesteuert. So waren 32 Stellen (meist befristet mit einer Laufzeit von  2 Jahren) per 31.12.2015 besetzt,</w:t>
      </w:r>
      <w:r w:rsidRPr="00C37B8D">
        <w:rPr>
          <w:sz w:val="24"/>
          <w:szCs w:val="24"/>
        </w:rPr>
        <w:t>3 weitere Stellen nahmen anteilig Aufgaben für die Abteilung wahr (Fachdienstleite</w:t>
      </w:r>
      <w:r>
        <w:rPr>
          <w:sz w:val="24"/>
          <w:szCs w:val="24"/>
        </w:rPr>
        <w:t>r und Haushaltssachbearbeiter) und z</w:t>
      </w:r>
      <w:r w:rsidRPr="00C37B8D">
        <w:rPr>
          <w:sz w:val="24"/>
          <w:szCs w:val="24"/>
        </w:rPr>
        <w:t>usätzlich wurde der Abteilung ein fachlicher Berater auf Honorarbasis zur Verfügung gestellt.</w:t>
      </w:r>
    </w:p>
    <w:p w:rsidR="0088071C" w:rsidRDefault="0088071C" w:rsidP="001322FC">
      <w:pPr>
        <w:spacing w:after="0"/>
        <w:jc w:val="both"/>
        <w:rPr>
          <w:sz w:val="24"/>
          <w:szCs w:val="24"/>
        </w:rPr>
      </w:pPr>
    </w:p>
    <w:p w:rsidR="0088071C" w:rsidRPr="0015572A" w:rsidRDefault="0088071C" w:rsidP="001322FC">
      <w:pPr>
        <w:spacing w:after="0"/>
        <w:jc w:val="both"/>
        <w:rPr>
          <w:rFonts w:eastAsia="Times New Roman" w:cs="Arial"/>
          <w:sz w:val="24"/>
          <w:szCs w:val="24"/>
          <w:lang w:eastAsia="de-DE"/>
        </w:rPr>
      </w:pPr>
      <w:r w:rsidRPr="0015572A">
        <w:rPr>
          <w:rFonts w:eastAsia="Times New Roman" w:cs="Arial"/>
          <w:sz w:val="24"/>
          <w:szCs w:val="24"/>
          <w:lang w:eastAsia="de-DE"/>
        </w:rPr>
        <w:t xml:space="preserve">Der Landkreis Wittenberg strebte zu jenem Zeitpunkt immer noch die vorrangige Unterbringung in Wohnungen an. Daher erfolgten im Jahr 2015 umfangreiche Wohnungsanmietungen. </w:t>
      </w:r>
    </w:p>
    <w:p w:rsidR="0088071C" w:rsidRPr="00C37B8D" w:rsidRDefault="0088071C" w:rsidP="001322FC">
      <w:pPr>
        <w:spacing w:after="0"/>
        <w:jc w:val="both"/>
        <w:rPr>
          <w:sz w:val="24"/>
          <w:szCs w:val="24"/>
        </w:rPr>
      </w:pPr>
    </w:p>
    <w:p w:rsidR="0088071C" w:rsidRPr="00C37B8D" w:rsidRDefault="0088071C" w:rsidP="001322FC">
      <w:pPr>
        <w:spacing w:after="0"/>
        <w:jc w:val="both"/>
        <w:rPr>
          <w:sz w:val="24"/>
          <w:szCs w:val="24"/>
        </w:rPr>
      </w:pPr>
      <w:r>
        <w:rPr>
          <w:sz w:val="24"/>
          <w:szCs w:val="24"/>
        </w:rPr>
        <w:t>Ende</w:t>
      </w:r>
      <w:r w:rsidRPr="00C37B8D">
        <w:rPr>
          <w:sz w:val="24"/>
          <w:szCs w:val="24"/>
        </w:rPr>
        <w:t xml:space="preserve"> 2015 mietete der Landkreis Wittenberg 80 Wohnungen in Jessen</w:t>
      </w:r>
      <w:r>
        <w:rPr>
          <w:sz w:val="24"/>
          <w:szCs w:val="24"/>
        </w:rPr>
        <w:t xml:space="preserve"> (Elster)</w:t>
      </w:r>
      <w:r w:rsidRPr="00C37B8D">
        <w:rPr>
          <w:sz w:val="24"/>
          <w:szCs w:val="24"/>
        </w:rPr>
        <w:t>, OT Holzdorf, zur Unterbringung von Flüchtlingen</w:t>
      </w:r>
      <w:r>
        <w:rPr>
          <w:sz w:val="24"/>
          <w:szCs w:val="24"/>
        </w:rPr>
        <w:t xml:space="preserve"> an</w:t>
      </w:r>
      <w:r w:rsidRPr="00C37B8D">
        <w:rPr>
          <w:sz w:val="24"/>
          <w:szCs w:val="24"/>
        </w:rPr>
        <w:t>. Die Wohnungen waren überwiegend nicht sofort bezugsfertig und mussten mit erheblichem finanziellem Aufwand hergerichtet werden. Die Liegenschaft hatte jahrelang leer gestanden. Dies zeigte sich auch bei der Herrichtung selbst auf einfachem Standard. Beispielsweise war die Heizung durch Frost geschädigt und dadurch auch der Fußboden, was sich aber erst bei der Erneuerung der Bodenbeläge zeigte. Insgesamt wurden hier bis 31.12.2016 ca. 1.445.000,00 Euro investiert in die Wiederherrichtung der Heizung, der elektrischen Anlagen, von Fußböden und die malermäßige Instandsetzung. Das Land Sachsen-Anhalt förderte investive Maßnahmen zur Herrichtung von Flüchtlingsunterkünften. Dem Landkreis Wittenberg wurden insgesamt für die Herrichtung der Wohnungen in</w:t>
      </w:r>
      <w:r w:rsidR="00775BF0">
        <w:rPr>
          <w:sz w:val="24"/>
          <w:szCs w:val="24"/>
        </w:rPr>
        <w:t xml:space="preserve"> Jessen (Els</w:t>
      </w:r>
      <w:r>
        <w:rPr>
          <w:sz w:val="24"/>
          <w:szCs w:val="24"/>
        </w:rPr>
        <w:t>ter) OT</w:t>
      </w:r>
      <w:r w:rsidRPr="00C37B8D">
        <w:rPr>
          <w:sz w:val="24"/>
          <w:szCs w:val="24"/>
        </w:rPr>
        <w:t xml:space="preserve"> Holzdorf 1.046.771,81 Euro erstattet.</w:t>
      </w:r>
    </w:p>
    <w:p w:rsidR="0088071C" w:rsidRPr="00C37B8D" w:rsidRDefault="0088071C" w:rsidP="001322FC">
      <w:pPr>
        <w:spacing w:after="0"/>
        <w:jc w:val="both"/>
        <w:rPr>
          <w:sz w:val="24"/>
          <w:szCs w:val="24"/>
        </w:rPr>
      </w:pPr>
    </w:p>
    <w:p w:rsidR="0088071C" w:rsidRPr="0015572A" w:rsidRDefault="0088071C" w:rsidP="001322FC">
      <w:pPr>
        <w:spacing w:after="0"/>
        <w:jc w:val="both"/>
        <w:rPr>
          <w:rFonts w:eastAsia="Times New Roman" w:cs="Arial"/>
          <w:sz w:val="24"/>
          <w:szCs w:val="24"/>
          <w:lang w:eastAsia="de-DE"/>
        </w:rPr>
      </w:pPr>
      <w:r w:rsidRPr="0015572A">
        <w:rPr>
          <w:rFonts w:eastAsia="Times New Roman" w:cs="Arial"/>
          <w:sz w:val="24"/>
          <w:szCs w:val="24"/>
          <w:lang w:eastAsia="de-DE"/>
        </w:rPr>
        <w:t xml:space="preserve">Es waren 351 Wohnungen per 31.12.2015 angemietet worden und 431 Wohnungen per 31.12.2016. </w:t>
      </w:r>
    </w:p>
    <w:p w:rsidR="0088071C" w:rsidRPr="0015572A" w:rsidRDefault="0088071C" w:rsidP="001322FC">
      <w:pPr>
        <w:spacing w:after="0"/>
        <w:jc w:val="both"/>
        <w:rPr>
          <w:rFonts w:eastAsia="Times New Roman" w:cs="Arial"/>
          <w:sz w:val="24"/>
          <w:szCs w:val="24"/>
          <w:lang w:eastAsia="de-DE"/>
        </w:rPr>
      </w:pPr>
      <w:r w:rsidRPr="0015572A">
        <w:rPr>
          <w:rFonts w:eastAsia="Times New Roman" w:cs="Arial"/>
          <w:sz w:val="24"/>
          <w:szCs w:val="24"/>
          <w:lang w:eastAsia="de-DE"/>
        </w:rPr>
        <w:t>Da der Wohnungsmarkt im Jahr 2015 bereits ziemlich ausgeschöpft war und die Notunterkünfte geschlossen werden mussten, richtete der Landkreis auch 3 Übergangswohnheime her (siehe dazu Wirtschaftlichkeitsbetrachtung mit Stand per 31.08.2016). Die Unterkünfte in Gräfenhainichen und Coswig konnten relativ zeitnah eröffnet werden. Die kreiseigene Liegenschaft der ehemaligen Karl-Marx-Schule in Wittenberg konnte erst Ende 2016 in Betrieb genommen werden.</w:t>
      </w:r>
    </w:p>
    <w:p w:rsidR="0088071C" w:rsidRPr="00C37B8D" w:rsidRDefault="0088071C" w:rsidP="001322FC">
      <w:pPr>
        <w:spacing w:after="0"/>
        <w:jc w:val="both"/>
        <w:rPr>
          <w:sz w:val="24"/>
          <w:szCs w:val="24"/>
        </w:rPr>
      </w:pPr>
      <w:r w:rsidRPr="0015572A">
        <w:rPr>
          <w:rFonts w:eastAsia="Times New Roman" w:cs="Arial"/>
          <w:sz w:val="24"/>
          <w:szCs w:val="24"/>
          <w:lang w:eastAsia="de-DE"/>
        </w:rPr>
        <w:t xml:space="preserve">Aufgrund des jahrelangen Leerstandes mussten </w:t>
      </w:r>
      <w:r w:rsidRPr="00C37B8D">
        <w:rPr>
          <w:sz w:val="24"/>
          <w:szCs w:val="24"/>
        </w:rPr>
        <w:t>teilweise Fenster, sanitäre Einrichtungen und die elektrischen Anlagen erneuert sowie die malermäßige Herrichtung vorgenommen</w:t>
      </w:r>
      <w:r>
        <w:rPr>
          <w:sz w:val="24"/>
          <w:szCs w:val="24"/>
        </w:rPr>
        <w:t xml:space="preserve"> werden</w:t>
      </w:r>
      <w:r w:rsidRPr="00C37B8D">
        <w:rPr>
          <w:sz w:val="24"/>
          <w:szCs w:val="24"/>
        </w:rPr>
        <w:t xml:space="preserve">. Von den ca. 1.660.000,00 Euro </w:t>
      </w:r>
      <w:r>
        <w:rPr>
          <w:sz w:val="24"/>
          <w:szCs w:val="24"/>
        </w:rPr>
        <w:t>Herrichtungskosten</w:t>
      </w:r>
      <w:r w:rsidRPr="00C37B8D">
        <w:rPr>
          <w:sz w:val="24"/>
          <w:szCs w:val="24"/>
        </w:rPr>
        <w:t xml:space="preserve"> wurden durch das Land 1.040.369,84 Euro erstattet.</w:t>
      </w:r>
    </w:p>
    <w:p w:rsidR="0088071C" w:rsidRPr="00C37B8D" w:rsidRDefault="0088071C" w:rsidP="001322FC">
      <w:pPr>
        <w:spacing w:after="0"/>
        <w:jc w:val="both"/>
        <w:rPr>
          <w:sz w:val="24"/>
          <w:szCs w:val="24"/>
        </w:rPr>
      </w:pPr>
      <w:r w:rsidRPr="00C37B8D">
        <w:rPr>
          <w:sz w:val="24"/>
          <w:szCs w:val="24"/>
        </w:rPr>
        <w:t xml:space="preserve">Bei der Herrichtung wurde bewusst auf den Einbau von Küchen verzichtet und sich bei der Versorgung der Flüchtlinge für einen Caterer entschieden. Hier hat sich gezeigt, dass trotz der Nichtauszahlung des im Bedarfssatz enthaltenen Anteils für Ernährung die Kosten des Caterings wesentlich höher gelegen haben und damit </w:t>
      </w:r>
      <w:r>
        <w:rPr>
          <w:sz w:val="24"/>
          <w:szCs w:val="24"/>
        </w:rPr>
        <w:t xml:space="preserve">letztlich </w:t>
      </w:r>
      <w:r w:rsidRPr="00C37B8D">
        <w:rPr>
          <w:sz w:val="24"/>
          <w:szCs w:val="24"/>
        </w:rPr>
        <w:t>keine Alternative darstellen.</w:t>
      </w:r>
    </w:p>
    <w:p w:rsidR="0088071C" w:rsidRPr="00C37B8D" w:rsidRDefault="0088071C" w:rsidP="001322FC">
      <w:pPr>
        <w:spacing w:after="0"/>
        <w:jc w:val="both"/>
        <w:rPr>
          <w:sz w:val="24"/>
          <w:szCs w:val="24"/>
        </w:rPr>
      </w:pPr>
    </w:p>
    <w:p w:rsidR="0088071C" w:rsidRPr="00C37B8D" w:rsidRDefault="0088071C" w:rsidP="001322FC">
      <w:pPr>
        <w:spacing w:after="0"/>
        <w:jc w:val="both"/>
        <w:rPr>
          <w:sz w:val="24"/>
          <w:szCs w:val="24"/>
        </w:rPr>
      </w:pPr>
      <w:r w:rsidRPr="00C37B8D">
        <w:rPr>
          <w:sz w:val="24"/>
          <w:szCs w:val="24"/>
        </w:rPr>
        <w:t>Der Landkreis Wittenberg hat sich 2015/2016 auf anhaltende Zuweisungen von Flüchtlingen eingestellt und wäre aufgrund vorstehender Ausführungen in die Lage versetzt gewesen, entsprechend seinem ursprünglichen Unterbringungskonzept, Flüchtlinge nicht in Notunterkünften, sondern weitestgehend dezentral in Wohnungen unterzubringen. Anstelle gleichbleibender Zuweisungszahlen bzw. Steigerungen waren die Zuweisungen ab dem 2. Quartal 2016 stark rückläufig, so dass hohe Leerstandskosten angefallen sind. Allein in Vockerode stehen nicht zuletzt aufgrund der Forderung des Landes Sachsen-Anhalt nach Reduzierung der Belegung 90 Wohnungen leer und ungenutzt. Bei einer monatlichen Mietzahlung von 350 Euro pro Wohnung fallen monatliche Leerstan</w:t>
      </w:r>
      <w:r>
        <w:rPr>
          <w:sz w:val="24"/>
          <w:szCs w:val="24"/>
        </w:rPr>
        <w:t>d</w:t>
      </w:r>
      <w:r w:rsidRPr="00C37B8D">
        <w:rPr>
          <w:sz w:val="24"/>
          <w:szCs w:val="24"/>
        </w:rPr>
        <w:t xml:space="preserve">skosten </w:t>
      </w:r>
      <w:r>
        <w:rPr>
          <w:sz w:val="24"/>
          <w:szCs w:val="24"/>
        </w:rPr>
        <w:t>i.H.</w:t>
      </w:r>
      <w:r w:rsidRPr="00C37B8D">
        <w:rPr>
          <w:sz w:val="24"/>
          <w:szCs w:val="24"/>
        </w:rPr>
        <w:t>v</w:t>
      </w:r>
      <w:r>
        <w:rPr>
          <w:sz w:val="24"/>
          <w:szCs w:val="24"/>
        </w:rPr>
        <w:t>.</w:t>
      </w:r>
      <w:r w:rsidRPr="00C37B8D">
        <w:rPr>
          <w:sz w:val="24"/>
          <w:szCs w:val="24"/>
        </w:rPr>
        <w:t xml:space="preserve"> 31.500 Euro an. Auch in Jessen</w:t>
      </w:r>
      <w:r>
        <w:rPr>
          <w:sz w:val="24"/>
          <w:szCs w:val="24"/>
        </w:rPr>
        <w:t xml:space="preserve"> (Elster) O</w:t>
      </w:r>
      <w:r w:rsidRPr="00C37B8D">
        <w:rPr>
          <w:sz w:val="24"/>
          <w:szCs w:val="24"/>
        </w:rPr>
        <w:t xml:space="preserve">T Holzdorf ist ein hoher Leerstand zu verzeichnen. Zum 31.12.2016 standen von den insgesamt 80 Wohnungen 56 leer. Hier muss </w:t>
      </w:r>
      <w:r>
        <w:rPr>
          <w:sz w:val="24"/>
          <w:szCs w:val="24"/>
        </w:rPr>
        <w:t xml:space="preserve">jedoch </w:t>
      </w:r>
      <w:r w:rsidRPr="00C37B8D">
        <w:rPr>
          <w:sz w:val="24"/>
          <w:szCs w:val="24"/>
        </w:rPr>
        <w:t>angemerkt werden, dass die Wohnungen sukzessive im Jahr 2016 zur Nutzung an den Landkreis Wittenberg übergeben worden sind, die letzten 30 Wohnungen zum 15.12.2016, so dass der Leerstand nicht</w:t>
      </w:r>
      <w:r>
        <w:rPr>
          <w:sz w:val="24"/>
          <w:szCs w:val="24"/>
        </w:rPr>
        <w:t xml:space="preserve"> für das</w:t>
      </w:r>
      <w:r w:rsidRPr="00C37B8D">
        <w:rPr>
          <w:sz w:val="24"/>
          <w:szCs w:val="24"/>
        </w:rPr>
        <w:t xml:space="preserve"> ganze Jahr </w:t>
      </w:r>
      <w:r>
        <w:rPr>
          <w:sz w:val="24"/>
          <w:szCs w:val="24"/>
        </w:rPr>
        <w:t>bestand</w:t>
      </w:r>
      <w:r w:rsidRPr="00C37B8D">
        <w:rPr>
          <w:sz w:val="24"/>
          <w:szCs w:val="24"/>
        </w:rPr>
        <w:t>.</w:t>
      </w:r>
    </w:p>
    <w:p w:rsidR="0088071C" w:rsidRPr="00C37B8D" w:rsidRDefault="0088071C" w:rsidP="001322FC">
      <w:pPr>
        <w:spacing w:after="0"/>
        <w:jc w:val="both"/>
        <w:rPr>
          <w:sz w:val="24"/>
          <w:szCs w:val="24"/>
        </w:rPr>
      </w:pPr>
    </w:p>
    <w:p w:rsidR="0088071C" w:rsidRPr="00C37B8D" w:rsidRDefault="0088071C" w:rsidP="001322FC">
      <w:pPr>
        <w:spacing w:after="0"/>
        <w:jc w:val="both"/>
        <w:rPr>
          <w:sz w:val="24"/>
          <w:szCs w:val="24"/>
        </w:rPr>
      </w:pPr>
      <w:r w:rsidRPr="0015572A">
        <w:rPr>
          <w:rFonts w:eastAsia="Times New Roman" w:cs="Arial"/>
          <w:sz w:val="24"/>
          <w:szCs w:val="24"/>
          <w:lang w:eastAsia="de-DE"/>
        </w:rPr>
        <w:t xml:space="preserve">Bei der Betrachtung des Kostenanstiegs spielen nicht nur die reinen Kaltmieten eine Rolle sondern auch die Betriebskosten, die stark abhängig vom Verbrauchsverhalten der Wohnraumnutzer sind. Trotz </w:t>
      </w:r>
      <w:r w:rsidRPr="00C37B8D">
        <w:rPr>
          <w:sz w:val="24"/>
          <w:szCs w:val="24"/>
        </w:rPr>
        <w:t>vielfacher Belehrungen zum Verbrauchsverhalten und dem Anbringen von Piktogrammen in den Wohnungen bezüglich Heiz- und Lüftungsverhalten und dem Umgang mit Wasser. Wasserverbräuche von 40 – 50 m</w:t>
      </w:r>
      <w:r w:rsidRPr="00C37B8D">
        <w:rPr>
          <w:sz w:val="24"/>
          <w:szCs w:val="24"/>
          <w:vertAlign w:val="superscript"/>
        </w:rPr>
        <w:t xml:space="preserve">3 </w:t>
      </w:r>
      <w:r w:rsidRPr="00C37B8D">
        <w:rPr>
          <w:sz w:val="24"/>
          <w:szCs w:val="24"/>
        </w:rPr>
        <w:t>sind keine Seltenheit ebenso wenig Hei</w:t>
      </w:r>
      <w:r w:rsidR="00135210">
        <w:rPr>
          <w:sz w:val="24"/>
          <w:szCs w:val="24"/>
        </w:rPr>
        <w:t>zkostennachzahlungen von 1.000 Euro</w:t>
      </w:r>
      <w:r w:rsidRPr="00C37B8D">
        <w:rPr>
          <w:sz w:val="24"/>
          <w:szCs w:val="24"/>
        </w:rPr>
        <w:t xml:space="preserve"> für eine 3-Raumwohnung. </w:t>
      </w:r>
    </w:p>
    <w:p w:rsidR="0088071C" w:rsidRDefault="0088071C" w:rsidP="001322FC">
      <w:pPr>
        <w:spacing w:after="0"/>
        <w:jc w:val="both"/>
        <w:rPr>
          <w:sz w:val="24"/>
          <w:szCs w:val="24"/>
        </w:rPr>
      </w:pPr>
    </w:p>
    <w:p w:rsidR="0088071C" w:rsidRPr="00BC6263" w:rsidRDefault="0088071C" w:rsidP="001322FC">
      <w:pPr>
        <w:spacing w:after="0"/>
        <w:jc w:val="both"/>
        <w:rPr>
          <w:rFonts w:eastAsia="Times New Roman" w:cs="Arial"/>
          <w:sz w:val="24"/>
          <w:szCs w:val="24"/>
          <w:lang w:eastAsia="de-DE"/>
        </w:rPr>
      </w:pPr>
      <w:r w:rsidRPr="00BC6263">
        <w:rPr>
          <w:rFonts w:eastAsia="Times New Roman" w:cs="Arial"/>
          <w:sz w:val="24"/>
          <w:szCs w:val="24"/>
          <w:lang w:eastAsia="de-DE"/>
        </w:rPr>
        <w:t>Was zu diesem Zeitpunkt nicht abzusehen war, ist die Tatsache, dass Mitte des Jahres 2016 die Zahl der Flüchtlinge drastisch abzunehmen begann.</w:t>
      </w:r>
    </w:p>
    <w:p w:rsidR="0088071C" w:rsidRPr="00BC6263" w:rsidRDefault="0088071C" w:rsidP="001322FC">
      <w:pPr>
        <w:spacing w:after="0"/>
        <w:jc w:val="both"/>
        <w:rPr>
          <w:rFonts w:eastAsia="Times New Roman" w:cs="Arial"/>
          <w:sz w:val="24"/>
          <w:szCs w:val="24"/>
          <w:lang w:eastAsia="de-DE"/>
        </w:rPr>
      </w:pPr>
      <w:r w:rsidRPr="00BC6263">
        <w:rPr>
          <w:rFonts w:eastAsia="Times New Roman" w:cs="Arial"/>
          <w:sz w:val="24"/>
          <w:szCs w:val="24"/>
          <w:lang w:eastAsia="de-DE"/>
        </w:rPr>
        <w:t>Insbesondere wegen der rückläufigen Zuweisungen war eine weitere Nutzung der ehem. Karl-Marx-Schule nicht mehr notwendig, so dass Anfang 2017 dieses Objekt geschlossen wurde. Außerdem wurde damit begonnen, Wohnungen zu kündigen, deren Laufzeit nicht für einen festen Zeitraum vertraglich geregelt war.</w:t>
      </w:r>
    </w:p>
    <w:p w:rsidR="0088071C" w:rsidRPr="00BC6263" w:rsidRDefault="0088071C" w:rsidP="001322FC">
      <w:pPr>
        <w:spacing w:after="0"/>
        <w:jc w:val="both"/>
        <w:rPr>
          <w:rFonts w:eastAsia="Times New Roman" w:cs="Arial"/>
          <w:sz w:val="24"/>
          <w:szCs w:val="24"/>
          <w:lang w:eastAsia="de-DE"/>
        </w:rPr>
      </w:pPr>
    </w:p>
    <w:p w:rsidR="0088071C" w:rsidRPr="00BC6263" w:rsidRDefault="0088071C" w:rsidP="001322FC">
      <w:pPr>
        <w:spacing w:after="0"/>
        <w:jc w:val="both"/>
        <w:rPr>
          <w:rFonts w:eastAsia="Times New Roman" w:cs="Arial"/>
          <w:sz w:val="24"/>
          <w:szCs w:val="24"/>
          <w:lang w:eastAsia="de-DE"/>
        </w:rPr>
      </w:pPr>
      <w:r w:rsidRPr="00BC6263">
        <w:rPr>
          <w:rFonts w:eastAsia="Times New Roman" w:cs="Arial"/>
          <w:sz w:val="24"/>
          <w:szCs w:val="24"/>
          <w:lang w:eastAsia="de-DE"/>
        </w:rPr>
        <w:t xml:space="preserve">Die letzte Spalte der vorstehenden Tabelle spiegelt </w:t>
      </w:r>
      <w:r w:rsidRPr="00BC6263">
        <w:rPr>
          <w:rFonts w:eastAsia="Times New Roman" w:cs="Arial"/>
          <w:sz w:val="24"/>
          <w:szCs w:val="24"/>
          <w:u w:val="single"/>
          <w:lang w:eastAsia="de-DE"/>
        </w:rPr>
        <w:t>zum Teil</w:t>
      </w:r>
      <w:r w:rsidRPr="00BC6263">
        <w:rPr>
          <w:rFonts w:eastAsia="Times New Roman" w:cs="Arial"/>
          <w:sz w:val="24"/>
          <w:szCs w:val="24"/>
          <w:lang w:eastAsia="de-DE"/>
        </w:rPr>
        <w:t xml:space="preserve"> die abgerechneten Kosten, die für die Ermittlung des Pauschalbetrages relevant waren, wider (Personalkosten mit 20% Gemeinkostenzuschlag). </w:t>
      </w:r>
    </w:p>
    <w:p w:rsidR="0088071C" w:rsidRPr="00BC6263" w:rsidRDefault="0088071C" w:rsidP="001322FC">
      <w:pPr>
        <w:spacing w:after="0"/>
        <w:jc w:val="both"/>
        <w:rPr>
          <w:rFonts w:eastAsia="Times New Roman" w:cs="Arial"/>
          <w:sz w:val="24"/>
          <w:szCs w:val="24"/>
          <w:lang w:eastAsia="de-DE"/>
        </w:rPr>
      </w:pPr>
      <w:r w:rsidRPr="00BC6263">
        <w:rPr>
          <w:rFonts w:eastAsia="Times New Roman" w:cs="Arial"/>
          <w:sz w:val="24"/>
          <w:szCs w:val="24"/>
          <w:lang w:eastAsia="de-DE"/>
        </w:rPr>
        <w:t xml:space="preserve">Da das Land konkrete Vorgaben gemacht hat, welche Kosten anerkannt werden und an welcher Stelle die Kostenpositionen mittels Verrechnung mit den Erträgen bereinigt werden sollen, weichen die IST-Daten aus der KLR zur Abrechnung der Kosten für die Ermittlung des Pauschalbetrages in der Darstellung voneinander ab! </w:t>
      </w:r>
    </w:p>
    <w:p w:rsidR="0088071C" w:rsidRPr="00BC6263" w:rsidRDefault="0088071C" w:rsidP="001322FC">
      <w:pPr>
        <w:spacing w:after="0"/>
        <w:jc w:val="both"/>
        <w:rPr>
          <w:rFonts w:eastAsia="Times New Roman" w:cs="Arial"/>
          <w:sz w:val="24"/>
          <w:szCs w:val="24"/>
          <w:lang w:eastAsia="de-DE"/>
        </w:rPr>
      </w:pPr>
      <w:r w:rsidRPr="00BC6263">
        <w:rPr>
          <w:rFonts w:eastAsia="Times New Roman" w:cs="Arial"/>
          <w:sz w:val="24"/>
          <w:szCs w:val="24"/>
          <w:lang w:eastAsia="de-DE"/>
        </w:rPr>
        <w:t>Weiterhin wurden bei der Abrechnung für das Jahr 2016 Kosten aus dem Jahr 2015 mit geltend gemacht, da die Abrechnung vor Buchungsschluss (15.02.2016) des Jahres 2015 erfolgte.</w:t>
      </w:r>
    </w:p>
    <w:p w:rsidR="0088071C" w:rsidRPr="00BC6263" w:rsidRDefault="0088071C" w:rsidP="001322FC">
      <w:pPr>
        <w:spacing w:after="0"/>
        <w:jc w:val="both"/>
        <w:rPr>
          <w:rFonts w:eastAsia="Times New Roman" w:cs="Arial"/>
          <w:sz w:val="24"/>
          <w:szCs w:val="24"/>
          <w:lang w:eastAsia="de-DE"/>
        </w:rPr>
      </w:pPr>
      <w:r w:rsidRPr="00BC6263">
        <w:rPr>
          <w:rFonts w:eastAsia="Times New Roman" w:cs="Arial"/>
          <w:sz w:val="24"/>
          <w:szCs w:val="24"/>
          <w:lang w:eastAsia="de-DE"/>
        </w:rPr>
        <w:t>Auch die zu berücksichtigenden Fallzahlen (Durchschnitt) der nicht dauerhaft aufenthaltsberechtigten Ausländer weichen voneinander ab, da jeweils unterschiedliche Rechenmethoden zur Ermittlung des Durchschnitts angewandt wurden. In der Tabelle auf Seite 4 wurden die monatlichen Personenzahlen addiert und durch 12 Monate geteilt um auf den Durchschnitt von 1.069 Personen zu kommen. Das Land dagegen errechnet den Durchschnitt quartalsweise und kommt auf 1.041 Personen.</w:t>
      </w:r>
    </w:p>
    <w:p w:rsidR="0088071C" w:rsidRPr="00BC6263" w:rsidRDefault="0088071C" w:rsidP="001322FC">
      <w:pPr>
        <w:spacing w:after="0"/>
        <w:jc w:val="both"/>
        <w:rPr>
          <w:rFonts w:eastAsia="Times New Roman" w:cs="Arial"/>
          <w:sz w:val="24"/>
          <w:szCs w:val="24"/>
          <w:lang w:eastAsia="de-DE"/>
        </w:rPr>
      </w:pPr>
    </w:p>
    <w:p w:rsidR="0088071C" w:rsidRPr="00BC6263" w:rsidRDefault="0088071C" w:rsidP="001322FC">
      <w:pPr>
        <w:spacing w:after="0"/>
        <w:jc w:val="both"/>
        <w:rPr>
          <w:rFonts w:eastAsia="Times New Roman" w:cs="Arial"/>
          <w:sz w:val="24"/>
          <w:szCs w:val="24"/>
          <w:lang w:eastAsia="de-DE"/>
        </w:rPr>
      </w:pPr>
      <w:r w:rsidRPr="00BC6263">
        <w:rPr>
          <w:rFonts w:eastAsia="Times New Roman" w:cs="Arial"/>
          <w:sz w:val="24"/>
          <w:szCs w:val="24"/>
          <w:lang w:eastAsia="de-DE"/>
        </w:rPr>
        <w:t>Im Rahmen der Kostenerstattung meldete der Landkreis Wittenberg letztendlich am  15.03.2017 nachfolgend aufgeführte Kosten beim Land an:</w:t>
      </w:r>
    </w:p>
    <w:p w:rsidR="0088071C" w:rsidRPr="00BC6263" w:rsidRDefault="0088071C" w:rsidP="0088071C">
      <w:pPr>
        <w:spacing w:after="0" w:line="240" w:lineRule="auto"/>
        <w:jc w:val="both"/>
        <w:rPr>
          <w:rFonts w:eastAsia="Times New Roman" w:cs="Arial"/>
          <w:sz w:val="24"/>
          <w:szCs w:val="24"/>
          <w:lang w:eastAsia="de-DE"/>
        </w:rPr>
      </w:pPr>
    </w:p>
    <w:tbl>
      <w:tblPr>
        <w:tblStyle w:val="Tabellenraster"/>
        <w:tblW w:w="0" w:type="auto"/>
        <w:tblLook w:val="04A0" w:firstRow="1" w:lastRow="0" w:firstColumn="1" w:lastColumn="0" w:noHBand="0" w:noVBand="1"/>
      </w:tblPr>
      <w:tblGrid>
        <w:gridCol w:w="7196"/>
        <w:gridCol w:w="2014"/>
      </w:tblGrid>
      <w:tr w:rsidR="0088071C" w:rsidRPr="00BC6263" w:rsidTr="005D34AE">
        <w:tc>
          <w:tcPr>
            <w:tcW w:w="7196" w:type="dxa"/>
          </w:tcPr>
          <w:p w:rsidR="0088071C" w:rsidRPr="00BC6263" w:rsidRDefault="0088071C" w:rsidP="005D34AE">
            <w:pPr>
              <w:jc w:val="both"/>
              <w:rPr>
                <w:rFonts w:eastAsia="Times New Roman" w:cs="Arial"/>
                <w:sz w:val="24"/>
                <w:szCs w:val="24"/>
                <w:lang w:eastAsia="de-DE"/>
              </w:rPr>
            </w:pPr>
            <w:r w:rsidRPr="00BC6263">
              <w:rPr>
                <w:rFonts w:eastAsia="Times New Roman" w:cs="Arial"/>
                <w:sz w:val="24"/>
                <w:szCs w:val="24"/>
                <w:lang w:eastAsia="de-DE"/>
              </w:rPr>
              <w:t>Unterbringungskosten gesamt, bereinigt um jeweilige Erträge</w:t>
            </w:r>
          </w:p>
        </w:tc>
        <w:tc>
          <w:tcPr>
            <w:tcW w:w="2014" w:type="dxa"/>
          </w:tcPr>
          <w:p w:rsidR="0088071C" w:rsidRPr="00BC6263" w:rsidRDefault="0088071C" w:rsidP="005D34AE">
            <w:pPr>
              <w:jc w:val="right"/>
              <w:rPr>
                <w:rFonts w:eastAsia="Times New Roman" w:cs="Arial"/>
                <w:sz w:val="24"/>
                <w:szCs w:val="24"/>
                <w:lang w:eastAsia="de-DE"/>
              </w:rPr>
            </w:pPr>
            <w:r w:rsidRPr="00BC6263">
              <w:rPr>
                <w:rFonts w:eastAsia="Times New Roman" w:cs="Arial"/>
                <w:sz w:val="24"/>
                <w:szCs w:val="24"/>
                <w:lang w:eastAsia="de-DE"/>
              </w:rPr>
              <w:t>6.002.429,55 €</w:t>
            </w:r>
          </w:p>
        </w:tc>
      </w:tr>
      <w:tr w:rsidR="0088071C" w:rsidRPr="00BC6263" w:rsidTr="005D34AE">
        <w:tc>
          <w:tcPr>
            <w:tcW w:w="7196" w:type="dxa"/>
          </w:tcPr>
          <w:p w:rsidR="0088071C" w:rsidRPr="00BC6263" w:rsidRDefault="0088071C" w:rsidP="005D34AE">
            <w:pPr>
              <w:jc w:val="both"/>
              <w:rPr>
                <w:rFonts w:eastAsia="Times New Roman" w:cs="Arial"/>
                <w:sz w:val="24"/>
                <w:szCs w:val="24"/>
                <w:lang w:eastAsia="de-DE"/>
              </w:rPr>
            </w:pPr>
            <w:r w:rsidRPr="00BC6263">
              <w:rPr>
                <w:rFonts w:eastAsia="Times New Roman" w:cs="Arial"/>
                <w:sz w:val="24"/>
                <w:szCs w:val="24"/>
                <w:lang w:eastAsia="de-DE"/>
              </w:rPr>
              <w:t>Leistungen nach AsylbLG</w:t>
            </w:r>
          </w:p>
        </w:tc>
        <w:tc>
          <w:tcPr>
            <w:tcW w:w="2014" w:type="dxa"/>
          </w:tcPr>
          <w:p w:rsidR="0088071C" w:rsidRPr="00BC6263" w:rsidRDefault="0088071C" w:rsidP="005D34AE">
            <w:pPr>
              <w:jc w:val="right"/>
              <w:rPr>
                <w:rFonts w:eastAsia="Times New Roman" w:cs="Arial"/>
                <w:sz w:val="24"/>
                <w:szCs w:val="24"/>
                <w:lang w:eastAsia="de-DE"/>
              </w:rPr>
            </w:pPr>
            <w:r w:rsidRPr="00BC6263">
              <w:rPr>
                <w:rFonts w:eastAsia="Times New Roman" w:cs="Arial"/>
                <w:sz w:val="24"/>
                <w:szCs w:val="24"/>
                <w:lang w:eastAsia="de-DE"/>
              </w:rPr>
              <w:t>5.187.994,80 €</w:t>
            </w:r>
          </w:p>
        </w:tc>
      </w:tr>
      <w:tr w:rsidR="0088071C" w:rsidRPr="00BC6263" w:rsidTr="005D34AE">
        <w:tc>
          <w:tcPr>
            <w:tcW w:w="7196" w:type="dxa"/>
          </w:tcPr>
          <w:p w:rsidR="0088071C" w:rsidRPr="00BC6263" w:rsidRDefault="0088071C" w:rsidP="005D34AE">
            <w:pPr>
              <w:jc w:val="both"/>
              <w:rPr>
                <w:rFonts w:eastAsia="Times New Roman" w:cs="Arial"/>
                <w:sz w:val="24"/>
                <w:szCs w:val="24"/>
                <w:lang w:eastAsia="de-DE"/>
              </w:rPr>
            </w:pPr>
            <w:r w:rsidRPr="00BC6263">
              <w:rPr>
                <w:rFonts w:eastAsia="Times New Roman" w:cs="Arial"/>
                <w:sz w:val="24"/>
                <w:szCs w:val="24"/>
                <w:lang w:eastAsia="de-DE"/>
              </w:rPr>
              <w:t>Personalkosten, sofern diese nicht bereits unter Pkt.1. eingerechnet wurden</w:t>
            </w:r>
          </w:p>
        </w:tc>
        <w:tc>
          <w:tcPr>
            <w:tcW w:w="2014" w:type="dxa"/>
          </w:tcPr>
          <w:p w:rsidR="0088071C" w:rsidRPr="00BC6263" w:rsidRDefault="0088071C" w:rsidP="005D34AE">
            <w:pPr>
              <w:jc w:val="right"/>
              <w:rPr>
                <w:rFonts w:eastAsia="Times New Roman" w:cs="Arial"/>
                <w:sz w:val="24"/>
                <w:szCs w:val="24"/>
                <w:lang w:eastAsia="de-DE"/>
              </w:rPr>
            </w:pPr>
            <w:r w:rsidRPr="00BC6263">
              <w:rPr>
                <w:rFonts w:eastAsia="Times New Roman" w:cs="Arial"/>
                <w:sz w:val="24"/>
                <w:szCs w:val="24"/>
                <w:lang w:eastAsia="de-DE"/>
              </w:rPr>
              <w:t>2.701.961,24 €</w:t>
            </w:r>
          </w:p>
        </w:tc>
      </w:tr>
      <w:tr w:rsidR="0088071C" w:rsidRPr="00BC6263" w:rsidTr="005D34AE">
        <w:tc>
          <w:tcPr>
            <w:tcW w:w="7196" w:type="dxa"/>
          </w:tcPr>
          <w:p w:rsidR="0088071C" w:rsidRPr="00BC6263" w:rsidRDefault="0088071C" w:rsidP="005D34AE">
            <w:pPr>
              <w:jc w:val="both"/>
              <w:rPr>
                <w:rFonts w:eastAsia="Times New Roman" w:cs="Arial"/>
                <w:sz w:val="24"/>
                <w:szCs w:val="24"/>
                <w:lang w:eastAsia="de-DE"/>
              </w:rPr>
            </w:pPr>
            <w:r w:rsidRPr="00BC6263">
              <w:rPr>
                <w:rFonts w:eastAsia="Times New Roman" w:cs="Arial"/>
                <w:sz w:val="24"/>
                <w:szCs w:val="24"/>
                <w:lang w:eastAsia="de-DE"/>
              </w:rPr>
              <w:t>Sachkosten allg. Verwaltung</w:t>
            </w:r>
          </w:p>
        </w:tc>
        <w:tc>
          <w:tcPr>
            <w:tcW w:w="2014" w:type="dxa"/>
          </w:tcPr>
          <w:p w:rsidR="0088071C" w:rsidRPr="00BC6263" w:rsidRDefault="0088071C" w:rsidP="005D34AE">
            <w:pPr>
              <w:jc w:val="right"/>
              <w:rPr>
                <w:rFonts w:eastAsia="Times New Roman" w:cs="Arial"/>
                <w:sz w:val="24"/>
                <w:szCs w:val="24"/>
                <w:lang w:eastAsia="de-DE"/>
              </w:rPr>
            </w:pPr>
            <w:r w:rsidRPr="00BC6263">
              <w:rPr>
                <w:rFonts w:eastAsia="Times New Roman" w:cs="Arial"/>
                <w:sz w:val="24"/>
                <w:szCs w:val="24"/>
                <w:lang w:eastAsia="de-DE"/>
              </w:rPr>
              <w:t xml:space="preserve">  341.696,57 €</w:t>
            </w:r>
          </w:p>
        </w:tc>
      </w:tr>
      <w:tr w:rsidR="0088071C" w:rsidRPr="00BC6263" w:rsidTr="005D34AE">
        <w:tc>
          <w:tcPr>
            <w:tcW w:w="7196" w:type="dxa"/>
          </w:tcPr>
          <w:p w:rsidR="0088071C" w:rsidRPr="00BC6263" w:rsidRDefault="0088071C" w:rsidP="005D34AE">
            <w:pPr>
              <w:jc w:val="both"/>
              <w:rPr>
                <w:rFonts w:eastAsia="Times New Roman" w:cs="Arial"/>
                <w:b/>
                <w:sz w:val="24"/>
                <w:szCs w:val="24"/>
                <w:lang w:eastAsia="de-DE"/>
              </w:rPr>
            </w:pPr>
            <w:r w:rsidRPr="00BC6263">
              <w:rPr>
                <w:rFonts w:eastAsia="Times New Roman" w:cs="Arial"/>
                <w:b/>
                <w:sz w:val="24"/>
                <w:szCs w:val="24"/>
                <w:lang w:eastAsia="de-DE"/>
              </w:rPr>
              <w:t>Gesamtaufwendungen/-kosten abzgl. realisierter Erträge</w:t>
            </w:r>
          </w:p>
        </w:tc>
        <w:tc>
          <w:tcPr>
            <w:tcW w:w="2014" w:type="dxa"/>
          </w:tcPr>
          <w:p w:rsidR="0088071C" w:rsidRPr="00BC6263" w:rsidRDefault="0088071C" w:rsidP="005D34AE">
            <w:pPr>
              <w:jc w:val="right"/>
              <w:rPr>
                <w:rFonts w:eastAsia="Times New Roman" w:cs="Arial"/>
                <w:b/>
                <w:sz w:val="24"/>
                <w:szCs w:val="24"/>
                <w:lang w:eastAsia="de-DE"/>
              </w:rPr>
            </w:pPr>
            <w:r w:rsidRPr="00BC6263">
              <w:rPr>
                <w:rFonts w:eastAsia="Times New Roman" w:cs="Arial"/>
                <w:b/>
                <w:sz w:val="24"/>
                <w:szCs w:val="24"/>
                <w:lang w:eastAsia="de-DE"/>
              </w:rPr>
              <w:t>14.234.082,16 €</w:t>
            </w:r>
          </w:p>
        </w:tc>
      </w:tr>
      <w:tr w:rsidR="0088071C" w:rsidRPr="00BC6263" w:rsidTr="005D34AE">
        <w:tc>
          <w:tcPr>
            <w:tcW w:w="7196" w:type="dxa"/>
          </w:tcPr>
          <w:p w:rsidR="0088071C" w:rsidRPr="00BC6263" w:rsidRDefault="0088071C" w:rsidP="005D34AE">
            <w:pPr>
              <w:jc w:val="both"/>
              <w:rPr>
                <w:rFonts w:eastAsia="Times New Roman" w:cs="Arial"/>
                <w:sz w:val="24"/>
                <w:szCs w:val="24"/>
                <w:lang w:eastAsia="de-DE"/>
              </w:rPr>
            </w:pPr>
            <w:r w:rsidRPr="00BC6263">
              <w:rPr>
                <w:rFonts w:eastAsia="Times New Roman" w:cs="Arial"/>
                <w:sz w:val="24"/>
                <w:szCs w:val="24"/>
                <w:lang w:eastAsia="de-DE"/>
              </w:rPr>
              <w:t>Anerkannte Aufwendungen im Rahmen der Kostenerstattung</w:t>
            </w:r>
          </w:p>
        </w:tc>
        <w:tc>
          <w:tcPr>
            <w:tcW w:w="2014" w:type="dxa"/>
          </w:tcPr>
          <w:p w:rsidR="0088071C" w:rsidRPr="00BC6263" w:rsidRDefault="0088071C" w:rsidP="005D34AE">
            <w:pPr>
              <w:jc w:val="right"/>
              <w:rPr>
                <w:rFonts w:eastAsia="Times New Roman" w:cs="Arial"/>
                <w:sz w:val="24"/>
                <w:szCs w:val="24"/>
                <w:lang w:eastAsia="de-DE"/>
              </w:rPr>
            </w:pPr>
            <w:r w:rsidRPr="00BC6263">
              <w:rPr>
                <w:rFonts w:eastAsia="Times New Roman" w:cs="Arial"/>
                <w:sz w:val="24"/>
                <w:szCs w:val="24"/>
                <w:lang w:eastAsia="de-DE"/>
              </w:rPr>
              <w:t>12.933.704,13 €</w:t>
            </w:r>
          </w:p>
        </w:tc>
      </w:tr>
      <w:tr w:rsidR="0088071C" w:rsidRPr="00BC6263" w:rsidTr="005D34AE">
        <w:tc>
          <w:tcPr>
            <w:tcW w:w="7196" w:type="dxa"/>
          </w:tcPr>
          <w:p w:rsidR="0088071C" w:rsidRPr="00BC6263" w:rsidRDefault="0088071C" w:rsidP="005D34AE">
            <w:pPr>
              <w:jc w:val="both"/>
              <w:rPr>
                <w:rFonts w:eastAsia="Times New Roman" w:cs="Arial"/>
                <w:b/>
                <w:sz w:val="24"/>
                <w:szCs w:val="24"/>
                <w:lang w:eastAsia="de-DE"/>
              </w:rPr>
            </w:pPr>
            <w:r w:rsidRPr="00BC6263">
              <w:rPr>
                <w:rFonts w:eastAsia="Times New Roman" w:cs="Arial"/>
                <w:b/>
                <w:sz w:val="24"/>
                <w:szCs w:val="24"/>
                <w:lang w:eastAsia="de-DE"/>
              </w:rPr>
              <w:t>Differenz</w:t>
            </w:r>
          </w:p>
        </w:tc>
        <w:tc>
          <w:tcPr>
            <w:tcW w:w="2014" w:type="dxa"/>
          </w:tcPr>
          <w:p w:rsidR="0088071C" w:rsidRPr="00BC6263" w:rsidRDefault="0088071C" w:rsidP="005D34AE">
            <w:pPr>
              <w:jc w:val="right"/>
              <w:rPr>
                <w:rFonts w:eastAsia="Times New Roman" w:cs="Arial"/>
                <w:b/>
                <w:sz w:val="24"/>
                <w:szCs w:val="24"/>
                <w:lang w:eastAsia="de-DE"/>
              </w:rPr>
            </w:pPr>
            <w:r w:rsidRPr="00BC6263">
              <w:rPr>
                <w:rFonts w:eastAsia="Times New Roman" w:cs="Arial"/>
                <w:b/>
                <w:sz w:val="24"/>
                <w:szCs w:val="24"/>
                <w:lang w:eastAsia="de-DE"/>
              </w:rPr>
              <w:t>1.300.378,03 €</w:t>
            </w:r>
          </w:p>
        </w:tc>
      </w:tr>
    </w:tbl>
    <w:p w:rsidR="0088071C" w:rsidRPr="00BC6263" w:rsidRDefault="0088071C" w:rsidP="0088071C">
      <w:pPr>
        <w:spacing w:after="0" w:line="240" w:lineRule="auto"/>
        <w:jc w:val="both"/>
        <w:rPr>
          <w:rFonts w:eastAsia="Times New Roman" w:cs="Arial"/>
          <w:sz w:val="24"/>
          <w:szCs w:val="24"/>
          <w:lang w:eastAsia="de-DE"/>
        </w:rPr>
      </w:pPr>
    </w:p>
    <w:p w:rsidR="0088071C" w:rsidRPr="00BC6263" w:rsidRDefault="0088071C" w:rsidP="001322FC">
      <w:pPr>
        <w:spacing w:after="0"/>
        <w:jc w:val="both"/>
        <w:rPr>
          <w:rFonts w:eastAsia="Times New Roman" w:cs="Arial"/>
          <w:sz w:val="24"/>
          <w:szCs w:val="24"/>
          <w:lang w:eastAsia="de-DE"/>
        </w:rPr>
      </w:pPr>
      <w:r w:rsidRPr="00BC6263">
        <w:rPr>
          <w:rFonts w:eastAsia="Times New Roman" w:cs="Arial"/>
          <w:sz w:val="24"/>
          <w:szCs w:val="24"/>
          <w:lang w:eastAsia="de-DE"/>
        </w:rPr>
        <w:t xml:space="preserve">Nicht berücksichtigt bzw. </w:t>
      </w:r>
      <w:r w:rsidR="0054493C">
        <w:rPr>
          <w:rFonts w:eastAsia="Times New Roman" w:cs="Arial"/>
          <w:sz w:val="24"/>
          <w:szCs w:val="24"/>
          <w:lang w:eastAsia="de-DE"/>
        </w:rPr>
        <w:t>he</w:t>
      </w:r>
      <w:r w:rsidRPr="00BC6263">
        <w:rPr>
          <w:rFonts w:eastAsia="Times New Roman" w:cs="Arial"/>
          <w:sz w:val="24"/>
          <w:szCs w:val="24"/>
          <w:lang w:eastAsia="de-DE"/>
        </w:rPr>
        <w:t>rauszurechnen waren:</w:t>
      </w:r>
    </w:p>
    <w:p w:rsidR="0088071C" w:rsidRPr="00BC6263" w:rsidRDefault="0088071C" w:rsidP="001322FC">
      <w:pPr>
        <w:numPr>
          <w:ilvl w:val="0"/>
          <w:numId w:val="20"/>
        </w:numPr>
        <w:spacing w:after="0"/>
        <w:jc w:val="both"/>
        <w:rPr>
          <w:rFonts w:eastAsia="Times New Roman" w:cs="Arial"/>
          <w:sz w:val="24"/>
          <w:szCs w:val="24"/>
          <w:lang w:eastAsia="de-DE"/>
        </w:rPr>
      </w:pPr>
      <w:r w:rsidRPr="00BC6263">
        <w:rPr>
          <w:rFonts w:eastAsia="Times New Roman" w:cs="Arial"/>
          <w:sz w:val="24"/>
          <w:szCs w:val="24"/>
          <w:lang w:eastAsia="de-DE"/>
        </w:rPr>
        <w:t xml:space="preserve">die Kosten der sozialen Beratung und Betreuung, die zu diesem Zeitpunkt noch nicht erstattet gewesen sind, </w:t>
      </w:r>
    </w:p>
    <w:p w:rsidR="0088071C" w:rsidRPr="00BC6263" w:rsidRDefault="0088071C" w:rsidP="001322FC">
      <w:pPr>
        <w:numPr>
          <w:ilvl w:val="0"/>
          <w:numId w:val="20"/>
        </w:numPr>
        <w:spacing w:after="0"/>
        <w:jc w:val="both"/>
        <w:rPr>
          <w:rFonts w:eastAsia="Times New Roman" w:cs="Arial"/>
          <w:sz w:val="24"/>
          <w:szCs w:val="24"/>
          <w:lang w:eastAsia="de-DE"/>
        </w:rPr>
      </w:pPr>
      <w:r w:rsidRPr="00BC6263">
        <w:rPr>
          <w:rFonts w:eastAsia="Times New Roman" w:cs="Arial"/>
          <w:sz w:val="24"/>
          <w:szCs w:val="24"/>
          <w:lang w:eastAsia="de-DE"/>
        </w:rPr>
        <w:t>Kosten der Krankenhilfe, die Ende März 2017 beim Land geltend gemacht wurden (Aufforderung, den Betrag aus Kostenerstattungsmeldung zu streichen)</w:t>
      </w:r>
    </w:p>
    <w:p w:rsidR="0088071C" w:rsidRPr="00BC6263" w:rsidRDefault="0088071C" w:rsidP="001322FC">
      <w:pPr>
        <w:numPr>
          <w:ilvl w:val="0"/>
          <w:numId w:val="20"/>
        </w:numPr>
        <w:spacing w:after="0"/>
        <w:jc w:val="both"/>
        <w:rPr>
          <w:rFonts w:eastAsia="Times New Roman" w:cs="Arial"/>
          <w:sz w:val="24"/>
          <w:szCs w:val="24"/>
          <w:lang w:eastAsia="de-DE"/>
        </w:rPr>
      </w:pPr>
      <w:r w:rsidRPr="00BC6263">
        <w:rPr>
          <w:rFonts w:eastAsia="Times New Roman" w:cs="Arial"/>
          <w:sz w:val="24"/>
          <w:szCs w:val="24"/>
          <w:lang w:eastAsia="de-DE"/>
        </w:rPr>
        <w:t>anteilige Personalkosten</w:t>
      </w:r>
    </w:p>
    <w:p w:rsidR="0088071C" w:rsidRDefault="0088071C" w:rsidP="001322FC">
      <w:pPr>
        <w:spacing w:after="0"/>
        <w:jc w:val="both"/>
        <w:rPr>
          <w:sz w:val="24"/>
          <w:szCs w:val="24"/>
        </w:rPr>
      </w:pPr>
    </w:p>
    <w:p w:rsidR="0088071C" w:rsidRPr="00C37B8D" w:rsidRDefault="0088071C" w:rsidP="001322FC">
      <w:pPr>
        <w:spacing w:after="0"/>
        <w:jc w:val="both"/>
        <w:rPr>
          <w:sz w:val="24"/>
          <w:szCs w:val="24"/>
        </w:rPr>
      </w:pPr>
      <w:r w:rsidRPr="00C37B8D">
        <w:rPr>
          <w:sz w:val="24"/>
          <w:szCs w:val="24"/>
        </w:rPr>
        <w:t>Die beiden nachfolgenden Tabellen stellen die Daten der Kostenerhebungen für die Kostenpauschalen 2016 (gemeldete Daten aus 2015) und 2017 (gemelde</w:t>
      </w:r>
      <w:r>
        <w:rPr>
          <w:sz w:val="24"/>
          <w:szCs w:val="24"/>
        </w:rPr>
        <w:t>te Daten aus 2016) dar. Für 2017</w:t>
      </w:r>
      <w:r w:rsidRPr="00C37B8D">
        <w:rPr>
          <w:sz w:val="24"/>
          <w:szCs w:val="24"/>
        </w:rPr>
        <w:t xml:space="preserve"> erfolgte die Erhebung und Auswertung im Rahmen der Überprüfung der Kostenpauschale durch das Ministerium für Inneres und S</w:t>
      </w:r>
      <w:r>
        <w:rPr>
          <w:sz w:val="24"/>
          <w:szCs w:val="24"/>
        </w:rPr>
        <w:t>port (Landräte-Schreiben Nr. 002/2017) vom 23.01</w:t>
      </w:r>
      <w:r w:rsidRPr="00C37B8D">
        <w:rPr>
          <w:sz w:val="24"/>
          <w:szCs w:val="24"/>
        </w:rPr>
        <w:t>.201</w:t>
      </w:r>
      <w:r>
        <w:rPr>
          <w:sz w:val="24"/>
          <w:szCs w:val="24"/>
        </w:rPr>
        <w:t>7</w:t>
      </w:r>
      <w:r w:rsidRPr="00C37B8D">
        <w:rPr>
          <w:sz w:val="24"/>
          <w:szCs w:val="24"/>
        </w:rPr>
        <w:t>.</w:t>
      </w:r>
    </w:p>
    <w:p w:rsidR="0088071C" w:rsidRPr="00C37B8D" w:rsidRDefault="0088071C" w:rsidP="001322FC">
      <w:pPr>
        <w:spacing w:after="0"/>
        <w:jc w:val="both"/>
        <w:rPr>
          <w:sz w:val="24"/>
          <w:szCs w:val="24"/>
        </w:rPr>
      </w:pPr>
      <w:r w:rsidRPr="00C37B8D">
        <w:rPr>
          <w:sz w:val="24"/>
          <w:szCs w:val="24"/>
        </w:rPr>
        <w:t>Für das Jahr 2016 wurden bislang nur Abschläge für die jeweiligen Quartale entrichtet. Eine abschließende  Erstattung ist auch bis 30.06.2017 nicht erfolgt. Aus nachfolgenden Tabellen ist ersichtlich, dass mehrere Landkreise bzw. kreisfreie Städte mit der für 2016 festgelegten Pauschale nicht auskömmlich waren.</w:t>
      </w:r>
      <w:r>
        <w:rPr>
          <w:sz w:val="24"/>
          <w:szCs w:val="24"/>
        </w:rPr>
        <w:t xml:space="preserve"> Das Land hat jedoch einen einmaligen Aufschlag auf die Pauschale von 20 % in Aussicht gestellt.</w:t>
      </w:r>
      <w:r w:rsidRPr="00C37B8D">
        <w:rPr>
          <w:sz w:val="24"/>
          <w:szCs w:val="24"/>
        </w:rPr>
        <w:t xml:space="preserve"> Bei dieser Variante werden alle dem Landkreis Wittenberg entstandenen gedeckt. Die auf vorstehend beschriebene Weise erfassten Kosten sind dann wiederum maßgeblich für die Ermittlung der Kostenpauschale 2017. </w:t>
      </w:r>
    </w:p>
    <w:p w:rsidR="0088071C" w:rsidRPr="00C37B8D" w:rsidRDefault="0088071C" w:rsidP="001322FC">
      <w:pPr>
        <w:spacing w:after="0"/>
        <w:jc w:val="both"/>
        <w:rPr>
          <w:sz w:val="24"/>
          <w:szCs w:val="24"/>
        </w:rPr>
      </w:pPr>
      <w:r w:rsidRPr="00C37B8D">
        <w:rPr>
          <w:sz w:val="24"/>
          <w:szCs w:val="24"/>
        </w:rPr>
        <w:t>Die Kommunalen Spitzenverbände haben demgegenüber gefordert, alle für 2016 gemeldeten Kosten und nicht nur die auf vorstehend beschriebene Weise ausgeglichenen Kosten in die Pauschale einfließen zu lassen. Demnach</w:t>
      </w:r>
      <w:r w:rsidR="00135210">
        <w:rPr>
          <w:sz w:val="24"/>
          <w:szCs w:val="24"/>
        </w:rPr>
        <w:t xml:space="preserve"> wäre die Pauschale mit 11.000 Euro</w:t>
      </w:r>
      <w:r w:rsidRPr="00C37B8D">
        <w:rPr>
          <w:sz w:val="24"/>
          <w:szCs w:val="24"/>
        </w:rPr>
        <w:t xml:space="preserve"> festzusetzen. </w:t>
      </w:r>
    </w:p>
    <w:p w:rsidR="0088071C" w:rsidRPr="00C37B8D" w:rsidRDefault="0088071C" w:rsidP="001322FC">
      <w:pPr>
        <w:spacing w:after="0"/>
        <w:jc w:val="both"/>
        <w:rPr>
          <w:sz w:val="24"/>
          <w:szCs w:val="24"/>
        </w:rPr>
      </w:pPr>
      <w:r w:rsidRPr="00C37B8D">
        <w:rPr>
          <w:sz w:val="24"/>
          <w:szCs w:val="24"/>
        </w:rPr>
        <w:t>Für 2017 gibt es noch keine abschließende Festsetzung der Pauschale. Derzeit wird mit einem</w:t>
      </w:r>
      <w:r>
        <w:rPr>
          <w:sz w:val="24"/>
          <w:szCs w:val="24"/>
        </w:rPr>
        <w:t xml:space="preserve"> Pauschalbetrag in Höhe von 11.0</w:t>
      </w:r>
      <w:r w:rsidR="00135210">
        <w:rPr>
          <w:sz w:val="24"/>
          <w:szCs w:val="24"/>
        </w:rPr>
        <w:t>00 Euro</w:t>
      </w:r>
      <w:r w:rsidRPr="00C37B8D">
        <w:rPr>
          <w:sz w:val="24"/>
          <w:szCs w:val="24"/>
        </w:rPr>
        <w:t xml:space="preserve"> kalkuliert. </w:t>
      </w:r>
    </w:p>
    <w:p w:rsidR="009439AB" w:rsidRPr="00C37B8D" w:rsidRDefault="009439AB" w:rsidP="009439AB">
      <w:pPr>
        <w:rPr>
          <w:rFonts w:eastAsiaTheme="majorEastAsia" w:cstheme="majorBidi"/>
          <w:b/>
          <w:bCs/>
          <w:sz w:val="24"/>
          <w:szCs w:val="28"/>
        </w:rPr>
      </w:pPr>
      <w:r w:rsidRPr="00C37B8D">
        <w:br w:type="page"/>
      </w:r>
    </w:p>
    <w:p w:rsidR="009439AB" w:rsidRPr="00C37B8D" w:rsidRDefault="009439AB" w:rsidP="009439AB">
      <w:pPr>
        <w:sectPr w:rsidR="009439AB" w:rsidRPr="00C37B8D" w:rsidSect="001322FC">
          <w:footerReference w:type="default" r:id="rId14"/>
          <w:pgSz w:w="11906" w:h="16838"/>
          <w:pgMar w:top="1276" w:right="1418" w:bottom="1134" w:left="1418" w:header="284" w:footer="284" w:gutter="0"/>
          <w:cols w:space="708"/>
          <w:titlePg/>
          <w:docGrid w:linePitch="360"/>
        </w:sectPr>
      </w:pPr>
    </w:p>
    <w:tbl>
      <w:tblPr>
        <w:tblpPr w:leftFromText="141" w:rightFromText="141" w:vertAnchor="text" w:horzAnchor="margin" w:tblpXSpec="center" w:tblpY="-451"/>
        <w:tblW w:w="160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771"/>
        <w:gridCol w:w="993"/>
        <w:gridCol w:w="992"/>
        <w:gridCol w:w="1114"/>
        <w:gridCol w:w="20"/>
        <w:gridCol w:w="1134"/>
        <w:gridCol w:w="992"/>
        <w:gridCol w:w="992"/>
        <w:gridCol w:w="993"/>
        <w:gridCol w:w="992"/>
        <w:gridCol w:w="992"/>
        <w:gridCol w:w="992"/>
        <w:gridCol w:w="993"/>
        <w:gridCol w:w="992"/>
        <w:gridCol w:w="992"/>
        <w:gridCol w:w="1134"/>
      </w:tblGrid>
      <w:tr w:rsidR="00FE0512" w:rsidRPr="00E14B01" w:rsidTr="00E14B01">
        <w:trPr>
          <w:trHeight w:val="255"/>
        </w:trPr>
        <w:tc>
          <w:tcPr>
            <w:tcW w:w="16088" w:type="dxa"/>
            <w:gridSpan w:val="16"/>
            <w:tcBorders>
              <w:top w:val="nil"/>
              <w:left w:val="nil"/>
              <w:right w:val="nil"/>
            </w:tcBorders>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bCs/>
                <w:color w:val="000000"/>
                <w:szCs w:val="20"/>
                <w:lang w:eastAsia="de-DE"/>
              </w:rPr>
              <w:t>Kostenerhebung für die Pauschale 2016 des Ministerium fü</w:t>
            </w:r>
            <w:r w:rsidR="00E14B01" w:rsidRPr="00E14B01">
              <w:rPr>
                <w:rFonts w:eastAsia="Times New Roman" w:cs="Arial"/>
                <w:bCs/>
                <w:color w:val="000000"/>
                <w:szCs w:val="20"/>
                <w:lang w:eastAsia="de-DE"/>
              </w:rPr>
              <w:t>r Inneres und Sport  – Tabelle 1</w:t>
            </w:r>
            <w:r w:rsidRPr="00E14B01">
              <w:rPr>
                <w:rFonts w:eastAsia="Times New Roman" w:cs="Arial"/>
                <w:bCs/>
                <w:color w:val="000000"/>
                <w:szCs w:val="20"/>
                <w:lang w:eastAsia="de-DE"/>
              </w:rPr>
              <w:t xml:space="preserve"> </w:t>
            </w:r>
            <w:r w:rsidRPr="00E14B01">
              <w:rPr>
                <w:rFonts w:eastAsia="Times New Roman" w:cs="Arial"/>
                <w:bCs/>
                <w:szCs w:val="20"/>
                <w:lang w:eastAsia="de-DE"/>
              </w:rPr>
              <w:t>(Aufwendungen/Kosten des Jahres 2015)</w:t>
            </w:r>
          </w:p>
        </w:tc>
      </w:tr>
      <w:tr w:rsidR="00FE0512" w:rsidRPr="00E14B01" w:rsidTr="00E14B01">
        <w:trPr>
          <w:trHeight w:val="168"/>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b/>
                <w:bCs/>
                <w:sz w:val="13"/>
                <w:szCs w:val="13"/>
                <w:lang w:eastAsia="de-DE"/>
              </w:rPr>
            </w:pPr>
            <w:r w:rsidRPr="00E14B01">
              <w:rPr>
                <w:rFonts w:eastAsia="Times New Roman" w:cs="Arial"/>
                <w:b/>
                <w:bCs/>
                <w:sz w:val="13"/>
                <w:szCs w:val="13"/>
                <w:lang w:eastAsia="de-DE"/>
              </w:rPr>
              <w:t> </w:t>
            </w:r>
          </w:p>
        </w:tc>
        <w:tc>
          <w:tcPr>
            <w:tcW w:w="993"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SAW</w:t>
            </w:r>
          </w:p>
        </w:tc>
        <w:tc>
          <w:tcPr>
            <w:tcW w:w="992"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ABI</w:t>
            </w:r>
          </w:p>
        </w:tc>
        <w:tc>
          <w:tcPr>
            <w:tcW w:w="1114"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BK</w:t>
            </w:r>
          </w:p>
        </w:tc>
        <w:tc>
          <w:tcPr>
            <w:tcW w:w="1154" w:type="dxa"/>
            <w:gridSpan w:val="2"/>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BLK</w:t>
            </w:r>
          </w:p>
        </w:tc>
        <w:tc>
          <w:tcPr>
            <w:tcW w:w="992"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JL</w:t>
            </w:r>
          </w:p>
        </w:tc>
        <w:tc>
          <w:tcPr>
            <w:tcW w:w="992"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MSH</w:t>
            </w:r>
          </w:p>
        </w:tc>
        <w:tc>
          <w:tcPr>
            <w:tcW w:w="993"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SK</w:t>
            </w:r>
          </w:p>
        </w:tc>
        <w:tc>
          <w:tcPr>
            <w:tcW w:w="992"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SLK</w:t>
            </w:r>
          </w:p>
        </w:tc>
        <w:tc>
          <w:tcPr>
            <w:tcW w:w="992"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SDL</w:t>
            </w:r>
          </w:p>
        </w:tc>
        <w:tc>
          <w:tcPr>
            <w:tcW w:w="992" w:type="dxa"/>
            <w:shd w:val="clear" w:color="auto" w:fill="F2DBDB" w:themeFill="accent2" w:themeFillTint="33"/>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WB</w:t>
            </w:r>
          </w:p>
        </w:tc>
        <w:tc>
          <w:tcPr>
            <w:tcW w:w="993"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DE</w:t>
            </w:r>
          </w:p>
        </w:tc>
        <w:tc>
          <w:tcPr>
            <w:tcW w:w="992"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HAL</w:t>
            </w:r>
          </w:p>
        </w:tc>
        <w:tc>
          <w:tcPr>
            <w:tcW w:w="992" w:type="dxa"/>
            <w:shd w:val="clear" w:color="auto" w:fill="auto"/>
            <w:vAlign w:val="bottom"/>
            <w:hideMark/>
          </w:tcPr>
          <w:p w:rsidR="00FE0512" w:rsidRPr="00E14B01" w:rsidRDefault="00FE0512" w:rsidP="00FE0512">
            <w:pPr>
              <w:spacing w:after="0" w:line="240" w:lineRule="auto"/>
              <w:jc w:val="center"/>
              <w:rPr>
                <w:rFonts w:eastAsia="Times New Roman" w:cs="Arial"/>
                <w:b/>
                <w:bCs/>
                <w:sz w:val="13"/>
                <w:szCs w:val="13"/>
                <w:lang w:eastAsia="de-DE"/>
              </w:rPr>
            </w:pPr>
            <w:r w:rsidRPr="00E14B01">
              <w:rPr>
                <w:rFonts w:eastAsia="Times New Roman" w:cs="Arial"/>
                <w:b/>
                <w:bCs/>
                <w:sz w:val="13"/>
                <w:szCs w:val="13"/>
                <w:lang w:eastAsia="de-DE"/>
              </w:rPr>
              <w:t>MD</w:t>
            </w:r>
          </w:p>
        </w:tc>
        <w:tc>
          <w:tcPr>
            <w:tcW w:w="1134" w:type="dxa"/>
            <w:shd w:val="clear" w:color="auto" w:fill="auto"/>
            <w:vAlign w:val="bottom"/>
            <w:hideMark/>
          </w:tcPr>
          <w:p w:rsidR="00FE0512" w:rsidRPr="00E14B01" w:rsidRDefault="00FE0512" w:rsidP="00FE0512">
            <w:pPr>
              <w:spacing w:after="0" w:line="240" w:lineRule="auto"/>
              <w:jc w:val="center"/>
              <w:rPr>
                <w:rFonts w:eastAsia="Times New Roman" w:cs="Arial"/>
                <w:b/>
                <w:color w:val="008000"/>
                <w:sz w:val="13"/>
                <w:szCs w:val="13"/>
                <w:lang w:eastAsia="de-DE"/>
              </w:rPr>
            </w:pPr>
            <w:r w:rsidRPr="00E14B01">
              <w:rPr>
                <w:rFonts w:eastAsia="Times New Roman" w:cs="Arial"/>
                <w:b/>
                <w:color w:val="92D050"/>
                <w:sz w:val="13"/>
                <w:szCs w:val="13"/>
                <w:lang w:eastAsia="de-DE"/>
              </w:rPr>
              <w:t>Durchschnitt</w:t>
            </w:r>
          </w:p>
        </w:tc>
      </w:tr>
      <w:tr w:rsidR="00E14B01" w:rsidRPr="00E14B01" w:rsidTr="00E14B01">
        <w:trPr>
          <w:trHeight w:val="129"/>
        </w:trPr>
        <w:tc>
          <w:tcPr>
            <w:tcW w:w="16088" w:type="dxa"/>
            <w:gridSpan w:val="16"/>
            <w:shd w:val="clear" w:color="auto" w:fill="auto"/>
            <w:noWrap/>
            <w:vAlign w:val="bottom"/>
            <w:hideMark/>
          </w:tcPr>
          <w:p w:rsidR="00E14B01" w:rsidRPr="00E14B01" w:rsidRDefault="00E14B01" w:rsidP="00E14B01">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I. Unterbringungskosten</w:t>
            </w:r>
            <w:r w:rsidRPr="00E14B01">
              <w:rPr>
                <w:rFonts w:eastAsia="Times New Roman" w:cs="Arial"/>
                <w:color w:val="000000"/>
                <w:sz w:val="13"/>
                <w:szCs w:val="13"/>
                <w:lang w:eastAsia="de-DE"/>
              </w:rPr>
              <w:t> </w:t>
            </w:r>
          </w:p>
        </w:tc>
      </w:tr>
      <w:tr w:rsidR="00FE0512" w:rsidRPr="00E14B01" w:rsidTr="00E14B01">
        <w:trPr>
          <w:trHeight w:val="27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A) Wohnungen</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888.784,64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2.565.647,20</w:t>
            </w:r>
          </w:p>
        </w:tc>
        <w:tc>
          <w:tcPr>
            <w:tcW w:w="1114"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1.614.844,03</w:t>
            </w:r>
          </w:p>
        </w:tc>
        <w:tc>
          <w:tcPr>
            <w:tcW w:w="115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1.702.834,17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1.530.753,58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0,00</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582.439,27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3.855.029,07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1.395.405,42</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2.432.178,76</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1.892.674,00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1.680.998,42</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2.107.093,34</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i/>
                <w:iCs/>
                <w:color w:val="A6A6A6"/>
                <w:sz w:val="13"/>
                <w:szCs w:val="13"/>
                <w:lang w:eastAsia="de-DE"/>
              </w:rPr>
            </w:pPr>
            <w:r w:rsidRPr="00E14B01">
              <w:rPr>
                <w:rFonts w:eastAsia="Times New Roman" w:cs="Arial"/>
                <w:bCs/>
                <w:i/>
                <w:iCs/>
                <w:color w:val="A6A6A6"/>
                <w:sz w:val="13"/>
                <w:szCs w:val="13"/>
                <w:lang w:eastAsia="de-DE"/>
              </w:rPr>
              <w:t>22.248.681,90</w:t>
            </w:r>
          </w:p>
        </w:tc>
      </w:tr>
      <w:tr w:rsidR="00FE0512" w:rsidRPr="00E14B01" w:rsidTr="00E14B01">
        <w:trPr>
          <w:trHeight w:val="251"/>
        </w:trPr>
        <w:tc>
          <w:tcPr>
            <w:tcW w:w="16088" w:type="dxa"/>
            <w:gridSpan w:val="16"/>
            <w:shd w:val="clear" w:color="auto" w:fill="auto"/>
            <w:noWrap/>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B) Gemeinschaftsunterkunft</w:t>
            </w:r>
            <w:r w:rsidRPr="00E14B01">
              <w:rPr>
                <w:rFonts w:eastAsia="Times New Roman" w:cs="Arial"/>
                <w:sz w:val="13"/>
                <w:szCs w:val="13"/>
                <w:lang w:eastAsia="de-DE"/>
              </w:rPr>
              <w:t> </w:t>
            </w:r>
            <w:r w:rsidRPr="00E14B01">
              <w:rPr>
                <w:rFonts w:eastAsia="Times New Roman" w:cs="Arial"/>
                <w:color w:val="000000"/>
                <w:sz w:val="13"/>
                <w:szCs w:val="13"/>
                <w:lang w:eastAsia="de-DE"/>
              </w:rPr>
              <w:t> </w:t>
            </w:r>
          </w:p>
        </w:tc>
      </w:tr>
      <w:tr w:rsidR="00FE0512" w:rsidRPr="00E14B01" w:rsidTr="00E14B01">
        <w:trPr>
          <w:trHeight w:val="27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1. Fremdbetrieb durch Dritten</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1.385.304,28</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4.081.404,34</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775.063,38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3.269.496,16</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7.218.787,02</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1.520.881,95</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3.690.168,24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color w:val="A6A6A6"/>
                <w:sz w:val="13"/>
                <w:szCs w:val="13"/>
                <w:lang w:eastAsia="de-DE"/>
              </w:rPr>
            </w:pPr>
            <w:r w:rsidRPr="00E14B01">
              <w:rPr>
                <w:rFonts w:eastAsia="Times New Roman" w:cs="Arial"/>
                <w:bCs/>
                <w:color w:val="A6A6A6"/>
                <w:sz w:val="13"/>
                <w:szCs w:val="13"/>
                <w:lang w:eastAsia="de-DE"/>
              </w:rPr>
              <w:t>21.941.105,37</w:t>
            </w:r>
          </w:p>
        </w:tc>
      </w:tr>
      <w:tr w:rsidR="00FE0512" w:rsidRPr="00E14B01" w:rsidTr="00E14B01">
        <w:trPr>
          <w:trHeight w:val="27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2. GU kommunal</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1.310.835,91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5.047.212,11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391.096,56</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1.158.548,79</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2.405.434,60</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753.185,89</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383.561,27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5.591.884,99</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color w:val="A6A6A6"/>
                <w:sz w:val="13"/>
                <w:szCs w:val="13"/>
                <w:lang w:eastAsia="de-DE"/>
              </w:rPr>
            </w:pPr>
            <w:r w:rsidRPr="00E14B01">
              <w:rPr>
                <w:rFonts w:eastAsia="Times New Roman" w:cs="Arial"/>
                <w:bCs/>
                <w:color w:val="A6A6A6"/>
                <w:sz w:val="13"/>
                <w:szCs w:val="13"/>
                <w:lang w:eastAsia="de-DE"/>
              </w:rPr>
              <w:t>17.041.760,12</w:t>
            </w:r>
          </w:p>
        </w:tc>
      </w:tr>
      <w:tr w:rsidR="00FE0512" w:rsidRPr="00E14B01" w:rsidTr="00E14B01">
        <w:trPr>
          <w:trHeight w:val="27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C) Notunterkünfte</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598.493,03</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275.329,06</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1.129.920,56</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826.704,22</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548.872,18</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908.142,16</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color w:val="A6A6A6"/>
                <w:sz w:val="13"/>
                <w:szCs w:val="13"/>
                <w:lang w:eastAsia="de-DE"/>
              </w:rPr>
            </w:pPr>
            <w:r w:rsidRPr="00E14B01">
              <w:rPr>
                <w:rFonts w:eastAsia="Times New Roman" w:cs="Arial"/>
                <w:bCs/>
                <w:color w:val="A6A6A6"/>
                <w:sz w:val="13"/>
                <w:szCs w:val="13"/>
                <w:lang w:eastAsia="de-DE"/>
              </w:rPr>
              <w:t>4.287.461,21</w:t>
            </w:r>
          </w:p>
        </w:tc>
      </w:tr>
      <w:tr w:rsidR="00FE0512" w:rsidRPr="00E14B01" w:rsidTr="00E14B01">
        <w:trPr>
          <w:trHeight w:val="27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 </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1.909.328,94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1.660.633,34</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5.211.324,90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5.047.212,11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775.063,38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3.660.592,72</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8.045.491,24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2.679.430,74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2.954.306,78</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1.661.328,05</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383.561,27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3.690.168,24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5.591.884,99</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color w:val="A6A6A6"/>
                <w:sz w:val="13"/>
                <w:szCs w:val="13"/>
                <w:lang w:eastAsia="de-DE"/>
              </w:rPr>
            </w:pPr>
            <w:r w:rsidRPr="00E14B01">
              <w:rPr>
                <w:rFonts w:eastAsia="Times New Roman" w:cs="Arial"/>
                <w:bCs/>
                <w:color w:val="A6A6A6"/>
                <w:sz w:val="13"/>
                <w:szCs w:val="13"/>
                <w:lang w:eastAsia="de-DE"/>
              </w:rPr>
              <w:t>43.270.326,70</w:t>
            </w:r>
          </w:p>
        </w:tc>
      </w:tr>
      <w:tr w:rsidR="00E14B01" w:rsidRPr="00E14B01" w:rsidTr="00E14B01">
        <w:trPr>
          <w:trHeight w:val="270"/>
        </w:trPr>
        <w:tc>
          <w:tcPr>
            <w:tcW w:w="1771" w:type="dxa"/>
            <w:shd w:val="clear" w:color="auto" w:fill="D6E3BC" w:themeFill="accent3" w:themeFillTint="66"/>
            <w:noWrap/>
            <w:vAlign w:val="bottom"/>
            <w:hideMark/>
          </w:tcPr>
          <w:p w:rsidR="00FE0512" w:rsidRPr="00E14B01" w:rsidRDefault="00FE0512" w:rsidP="00FE0512">
            <w:pPr>
              <w:spacing w:after="0" w:line="240" w:lineRule="auto"/>
              <w:rPr>
                <w:rFonts w:eastAsia="Times New Roman" w:cs="Arial"/>
                <w:b/>
                <w:bCs/>
                <w:color w:val="000000"/>
                <w:sz w:val="13"/>
                <w:szCs w:val="13"/>
                <w:lang w:eastAsia="de-DE"/>
              </w:rPr>
            </w:pPr>
            <w:r w:rsidRPr="00E14B01">
              <w:rPr>
                <w:rFonts w:eastAsia="Times New Roman" w:cs="Arial"/>
                <w:b/>
                <w:bCs/>
                <w:color w:val="000000"/>
                <w:sz w:val="13"/>
                <w:szCs w:val="13"/>
                <w:lang w:eastAsia="de-DE"/>
              </w:rPr>
              <w:t>Unterbringungskosten gesamt</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2.798.113,58</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4.226.280,54</w:t>
            </w:r>
          </w:p>
        </w:tc>
        <w:tc>
          <w:tcPr>
            <w:tcW w:w="1134" w:type="dxa"/>
            <w:gridSpan w:val="2"/>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6.826.168,93</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6.750.046,28</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2.305.816,96</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3.660.592,72</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8.627.930,51</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6.534.459,81</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4.349.712,20</w:t>
            </w:r>
          </w:p>
        </w:tc>
        <w:tc>
          <w:tcPr>
            <w:tcW w:w="992" w:type="dxa"/>
            <w:shd w:val="clear" w:color="auto" w:fill="E5B8B7" w:themeFill="accent2"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4.093.506,81</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2.276.235,27</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5.371.166,66</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7.698.978,33</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i/>
                <w:iCs/>
                <w:color w:val="A6A6A6"/>
                <w:sz w:val="13"/>
                <w:szCs w:val="13"/>
                <w:lang w:eastAsia="de-DE"/>
              </w:rPr>
            </w:pPr>
            <w:r w:rsidRPr="00E14B01">
              <w:rPr>
                <w:rFonts w:eastAsia="Times New Roman" w:cs="Arial"/>
                <w:b/>
                <w:bCs/>
                <w:i/>
                <w:iCs/>
                <w:color w:val="A6A6A6"/>
                <w:sz w:val="13"/>
                <w:szCs w:val="13"/>
                <w:lang w:eastAsia="de-DE"/>
              </w:rPr>
              <w:t>65.519.008,60</w:t>
            </w:r>
          </w:p>
        </w:tc>
      </w:tr>
      <w:tr w:rsidR="00E14B01" w:rsidRPr="00E14B01" w:rsidTr="00E14B01">
        <w:trPr>
          <w:trHeight w:val="270"/>
        </w:trPr>
        <w:tc>
          <w:tcPr>
            <w:tcW w:w="1771" w:type="dxa"/>
            <w:shd w:val="clear" w:color="auto" w:fill="D6E3BC" w:themeFill="accent3" w:themeFillTint="66"/>
            <w:noWrap/>
            <w:vAlign w:val="bottom"/>
            <w:hideMark/>
          </w:tcPr>
          <w:p w:rsidR="00FE0512" w:rsidRPr="00E14B01" w:rsidRDefault="00FE0512" w:rsidP="00FE0512">
            <w:pPr>
              <w:spacing w:after="0" w:line="240" w:lineRule="auto"/>
              <w:rPr>
                <w:rFonts w:eastAsia="Times New Roman" w:cs="Arial"/>
                <w:b/>
                <w:bCs/>
                <w:color w:val="000000"/>
                <w:sz w:val="13"/>
                <w:szCs w:val="13"/>
                <w:lang w:eastAsia="de-DE"/>
              </w:rPr>
            </w:pPr>
            <w:r w:rsidRPr="00E14B01">
              <w:rPr>
                <w:rFonts w:eastAsia="Times New Roman" w:cs="Arial"/>
                <w:b/>
                <w:bCs/>
                <w:color w:val="000000"/>
                <w:sz w:val="13"/>
                <w:szCs w:val="13"/>
                <w:lang w:eastAsia="de-DE"/>
              </w:rPr>
              <w:t xml:space="preserve">II. Leistungen nach AsylbLG </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3.320.239,48</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5.687.250,79</w:t>
            </w:r>
          </w:p>
        </w:tc>
        <w:tc>
          <w:tcPr>
            <w:tcW w:w="1134" w:type="dxa"/>
            <w:gridSpan w:val="2"/>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5.465.715,76</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8.179.565,64</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2.422.922,04</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5.633.188,22</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7.039.605,27</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5.790.130,73</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4.152.905,47</w:t>
            </w:r>
          </w:p>
        </w:tc>
        <w:tc>
          <w:tcPr>
            <w:tcW w:w="992" w:type="dxa"/>
            <w:shd w:val="clear" w:color="auto" w:fill="E5B8B7" w:themeFill="accent2"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3.931.670,11</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3.369.710,45</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11.239.855,98</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8.990.005,22</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i/>
                <w:iCs/>
                <w:color w:val="A6A6A6"/>
                <w:sz w:val="13"/>
                <w:szCs w:val="13"/>
                <w:lang w:eastAsia="de-DE"/>
              </w:rPr>
            </w:pPr>
            <w:r w:rsidRPr="00E14B01">
              <w:rPr>
                <w:rFonts w:eastAsia="Times New Roman" w:cs="Arial"/>
                <w:b/>
                <w:bCs/>
                <w:i/>
                <w:iCs/>
                <w:color w:val="A6A6A6"/>
                <w:sz w:val="13"/>
                <w:szCs w:val="13"/>
                <w:lang w:eastAsia="de-DE"/>
              </w:rPr>
              <w:t>75.222.765,16</w:t>
            </w:r>
          </w:p>
        </w:tc>
      </w:tr>
      <w:tr w:rsidR="00E14B01" w:rsidRPr="00E14B01" w:rsidTr="00E14B01">
        <w:trPr>
          <w:trHeight w:val="219"/>
        </w:trPr>
        <w:tc>
          <w:tcPr>
            <w:tcW w:w="16088" w:type="dxa"/>
            <w:gridSpan w:val="16"/>
            <w:shd w:val="clear" w:color="auto" w:fill="auto"/>
            <w:noWrap/>
            <w:vAlign w:val="bottom"/>
            <w:hideMark/>
          </w:tcPr>
          <w:p w:rsidR="00E14B01" w:rsidRPr="00E14B01" w:rsidRDefault="00E14B01" w:rsidP="00E14B01">
            <w:pPr>
              <w:spacing w:after="0" w:line="240" w:lineRule="auto"/>
              <w:rPr>
                <w:rFonts w:eastAsia="Times New Roman" w:cs="Arial"/>
                <w:color w:val="000000"/>
                <w:sz w:val="13"/>
                <w:szCs w:val="13"/>
                <w:lang w:eastAsia="de-DE"/>
              </w:rPr>
            </w:pPr>
            <w:r w:rsidRPr="00E14B01">
              <w:rPr>
                <w:rFonts w:eastAsia="Times New Roman" w:cs="Arial"/>
                <w:bCs/>
                <w:color w:val="000000"/>
                <w:sz w:val="13"/>
                <w:szCs w:val="13"/>
                <w:lang w:eastAsia="de-DE"/>
              </w:rPr>
              <w:t>III. Soziale Betreuung</w:t>
            </w:r>
          </w:p>
        </w:tc>
      </w:tr>
      <w:tr w:rsidR="00FE0512" w:rsidRPr="00E14B01" w:rsidTr="00E14B01">
        <w:trPr>
          <w:trHeight w:val="27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A) Zahlungen an Dritte</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47.563,68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248.203,54</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62.391,87</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82.463,60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203.743,91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58.969,06</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67.077,27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67.301,68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57.551,83</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50.789,13</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52.671,98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119.858,40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95.133,38</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0000"/>
                <w:sz w:val="13"/>
                <w:szCs w:val="13"/>
                <w:lang w:eastAsia="de-DE"/>
              </w:rPr>
            </w:pPr>
            <w:r w:rsidRPr="00E14B01">
              <w:rPr>
                <w:rFonts w:eastAsia="Times New Roman" w:cs="Arial"/>
                <w:color w:val="000000"/>
                <w:sz w:val="13"/>
                <w:szCs w:val="13"/>
                <w:lang w:eastAsia="de-DE"/>
              </w:rPr>
              <w:t> </w:t>
            </w:r>
          </w:p>
        </w:tc>
      </w:tr>
      <w:tr w:rsidR="00FE0512" w:rsidRPr="00E14B01" w:rsidTr="00E14B01">
        <w:trPr>
          <w:trHeight w:val="375"/>
        </w:trPr>
        <w:tc>
          <w:tcPr>
            <w:tcW w:w="1771" w:type="dxa"/>
            <w:shd w:val="clear" w:color="auto" w:fill="auto"/>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B) Durchführung mit eigenem Personal</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46.166,03</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46.881,22</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0000"/>
                <w:sz w:val="13"/>
                <w:szCs w:val="13"/>
                <w:lang w:eastAsia="de-DE"/>
              </w:rPr>
            </w:pPr>
            <w:r w:rsidRPr="00E14B01">
              <w:rPr>
                <w:rFonts w:eastAsia="Times New Roman" w:cs="Arial"/>
                <w:color w:val="000000"/>
                <w:sz w:val="13"/>
                <w:szCs w:val="13"/>
                <w:lang w:eastAsia="de-DE"/>
              </w:rPr>
              <w:t> </w:t>
            </w:r>
          </w:p>
        </w:tc>
      </w:tr>
      <w:tr w:rsidR="00FE0512" w:rsidRPr="00E14B01" w:rsidTr="00E14B01">
        <w:trPr>
          <w:trHeight w:val="408"/>
        </w:trPr>
        <w:tc>
          <w:tcPr>
            <w:tcW w:w="1771" w:type="dxa"/>
            <w:shd w:val="clear" w:color="auto" w:fill="auto"/>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C) Erstattung Land gem. Aufnahmeerstattungs-</w:t>
            </w:r>
          </w:p>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VO</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47.563,68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55.662,02</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54.720,00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79.274,20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49.369,64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58.969,06</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67.077,27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53.357,48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46.692,89</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42.189,13</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40.920,07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119.858,40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97.134,90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0000"/>
                <w:sz w:val="13"/>
                <w:szCs w:val="13"/>
                <w:lang w:eastAsia="de-DE"/>
              </w:rPr>
            </w:pPr>
            <w:r w:rsidRPr="00E14B01">
              <w:rPr>
                <w:rFonts w:eastAsia="Times New Roman" w:cs="Arial"/>
                <w:color w:val="000000"/>
                <w:sz w:val="13"/>
                <w:szCs w:val="13"/>
                <w:lang w:eastAsia="de-DE"/>
              </w:rPr>
              <w:t> </w:t>
            </w:r>
          </w:p>
        </w:tc>
      </w:tr>
      <w:tr w:rsidR="00E14B01" w:rsidRPr="00E14B01" w:rsidTr="00E14B01">
        <w:trPr>
          <w:trHeight w:val="225"/>
        </w:trPr>
        <w:tc>
          <w:tcPr>
            <w:tcW w:w="1771" w:type="dxa"/>
            <w:shd w:val="clear" w:color="auto" w:fill="D6E3BC" w:themeFill="accent3" w:themeFillTint="66"/>
            <w:noWrap/>
            <w:vAlign w:val="bottom"/>
            <w:hideMark/>
          </w:tcPr>
          <w:p w:rsidR="00FE0512" w:rsidRPr="00E14B01" w:rsidRDefault="00FE0512" w:rsidP="00FE0512">
            <w:pPr>
              <w:spacing w:after="0" w:line="240" w:lineRule="auto"/>
              <w:rPr>
                <w:rFonts w:eastAsia="Times New Roman" w:cs="Arial"/>
                <w:b/>
                <w:bCs/>
                <w:color w:val="000000"/>
                <w:sz w:val="12"/>
                <w:szCs w:val="12"/>
                <w:lang w:eastAsia="de-DE"/>
              </w:rPr>
            </w:pPr>
            <w:r w:rsidRPr="00E14B01">
              <w:rPr>
                <w:rFonts w:eastAsia="Times New Roman" w:cs="Arial"/>
                <w:b/>
                <w:bCs/>
                <w:color w:val="000000"/>
                <w:sz w:val="13"/>
                <w:szCs w:val="13"/>
                <w:lang w:eastAsia="de-DE"/>
              </w:rPr>
              <w:t> </w:t>
            </w:r>
            <w:r w:rsidR="00E14B01" w:rsidRPr="00E14B01">
              <w:rPr>
                <w:rFonts w:eastAsia="Times New Roman" w:cs="Arial"/>
                <w:b/>
                <w:bCs/>
                <w:color w:val="000000"/>
                <w:sz w:val="12"/>
                <w:szCs w:val="12"/>
                <w:lang w:eastAsia="de-DE"/>
              </w:rPr>
              <w:t>Soziale Betreuung gesamt:</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0,00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192.541,52</w:t>
            </w:r>
          </w:p>
        </w:tc>
        <w:tc>
          <w:tcPr>
            <w:tcW w:w="1134" w:type="dxa"/>
            <w:gridSpan w:val="2"/>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53.837,90</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3.189,40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201.255,49</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0,00</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0,00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13.944,20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10.858,94</w:t>
            </w:r>
          </w:p>
        </w:tc>
        <w:tc>
          <w:tcPr>
            <w:tcW w:w="992" w:type="dxa"/>
            <w:shd w:val="clear" w:color="auto" w:fill="E5B8B7" w:themeFill="accent2"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8.600,00</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11.751,91</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0,00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-2.001,52</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i/>
                <w:iCs/>
                <w:color w:val="A6A6A6"/>
                <w:sz w:val="13"/>
                <w:szCs w:val="13"/>
                <w:lang w:eastAsia="de-DE"/>
              </w:rPr>
            </w:pPr>
            <w:r w:rsidRPr="00E14B01">
              <w:rPr>
                <w:rFonts w:eastAsia="Times New Roman" w:cs="Arial"/>
                <w:b/>
                <w:bCs/>
                <w:i/>
                <w:iCs/>
                <w:color w:val="A6A6A6"/>
                <w:sz w:val="13"/>
                <w:szCs w:val="13"/>
                <w:lang w:eastAsia="de-DE"/>
              </w:rPr>
              <w:t>493.977,84</w:t>
            </w:r>
          </w:p>
        </w:tc>
      </w:tr>
      <w:tr w:rsidR="00E14B01" w:rsidRPr="00E14B01" w:rsidTr="00E14B01">
        <w:trPr>
          <w:trHeight w:val="89"/>
        </w:trPr>
        <w:tc>
          <w:tcPr>
            <w:tcW w:w="16088" w:type="dxa"/>
            <w:gridSpan w:val="16"/>
            <w:shd w:val="clear" w:color="auto" w:fill="auto"/>
            <w:noWrap/>
            <w:vAlign w:val="bottom"/>
            <w:hideMark/>
          </w:tcPr>
          <w:p w:rsidR="00E14B01" w:rsidRPr="00E14B01" w:rsidRDefault="00E14B01" w:rsidP="00E14B01">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IV. Personalkosten</w:t>
            </w:r>
          </w:p>
        </w:tc>
      </w:tr>
      <w:tr w:rsidR="00FE0512" w:rsidRPr="00E14B01" w:rsidTr="00E14B01">
        <w:trPr>
          <w:trHeight w:val="24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a) LeistungsSB nach AsylbLG</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132.438,60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307.862,16</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477.915,16</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253.824,90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143.034,91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487.261,76</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286.783,01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397.457,27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141.098,62</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218.185,37</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175.603,25</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670.354,13</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481.579,15</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4.173.398,29</w:t>
            </w:r>
          </w:p>
        </w:tc>
      </w:tr>
      <w:tr w:rsidR="00E14B01" w:rsidRPr="00E14B01" w:rsidTr="00E14B01">
        <w:trPr>
          <w:trHeight w:val="323"/>
        </w:trPr>
        <w:tc>
          <w:tcPr>
            <w:tcW w:w="1771" w:type="dxa"/>
            <w:shd w:val="clear" w:color="auto" w:fill="auto"/>
            <w:vAlign w:val="bottom"/>
            <w:hideMark/>
          </w:tcPr>
          <w:p w:rsidR="00FE0512" w:rsidRPr="00E14B01" w:rsidRDefault="00FE0512" w:rsidP="00FE0512">
            <w:pPr>
              <w:spacing w:after="0" w:line="240" w:lineRule="auto"/>
              <w:rPr>
                <w:rFonts w:eastAsia="Times New Roman" w:cs="Arial"/>
                <w:i/>
                <w:iCs/>
                <w:color w:val="7030A0"/>
                <w:sz w:val="13"/>
                <w:szCs w:val="13"/>
                <w:lang w:eastAsia="de-DE"/>
              </w:rPr>
            </w:pPr>
            <w:r w:rsidRPr="00E14B01">
              <w:rPr>
                <w:rFonts w:eastAsia="Times New Roman" w:cs="Arial"/>
                <w:i/>
                <w:iCs/>
                <w:color w:val="7030A0"/>
                <w:sz w:val="13"/>
                <w:szCs w:val="13"/>
                <w:lang w:eastAsia="de-DE"/>
              </w:rPr>
              <w:t>b) Sozialarbeiter sofern nicht unter Pkt. III</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69.354,91</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112.674,01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34.066,21</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31.563,29</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42.427,34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81.333,94</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371.419,70</w:t>
            </w:r>
          </w:p>
        </w:tc>
      </w:tr>
      <w:tr w:rsidR="00E14B01" w:rsidRPr="00E14B01" w:rsidTr="00E14B01">
        <w:trPr>
          <w:trHeight w:val="24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i/>
                <w:iCs/>
                <w:color w:val="7030A0"/>
                <w:sz w:val="13"/>
                <w:szCs w:val="13"/>
                <w:lang w:eastAsia="de-DE"/>
              </w:rPr>
            </w:pPr>
            <w:r w:rsidRPr="00E14B01">
              <w:rPr>
                <w:rFonts w:eastAsia="Times New Roman" w:cs="Arial"/>
                <w:i/>
                <w:iCs/>
                <w:color w:val="7030A0"/>
                <w:sz w:val="13"/>
                <w:szCs w:val="13"/>
                <w:lang w:eastAsia="de-DE"/>
              </w:rPr>
              <w:t>c) Wohnungsverwaltung</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98.648,74</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21.401,84</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443.513,20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3.648,68</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36.894,32</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392.248,90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142.955,10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97.729,43</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274.270,68</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1.511.310,89</w:t>
            </w:r>
          </w:p>
        </w:tc>
      </w:tr>
      <w:tr w:rsidR="00E14B01" w:rsidRPr="00E14B01" w:rsidTr="00E14B01">
        <w:trPr>
          <w:trHeight w:val="24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i/>
                <w:iCs/>
                <w:color w:val="7030A0"/>
                <w:sz w:val="13"/>
                <w:szCs w:val="13"/>
                <w:lang w:eastAsia="de-DE"/>
              </w:rPr>
            </w:pPr>
            <w:r w:rsidRPr="00E14B01">
              <w:rPr>
                <w:rFonts w:eastAsia="Times New Roman" w:cs="Arial"/>
                <w:i/>
                <w:iCs/>
                <w:color w:val="7030A0"/>
                <w:sz w:val="13"/>
                <w:szCs w:val="13"/>
                <w:lang w:eastAsia="de-DE"/>
              </w:rPr>
              <w:t>d) Hausmeister</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47.321,70</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49.288,81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34.761,83</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2.575,58</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119.076,00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253.023,92</w:t>
            </w:r>
          </w:p>
        </w:tc>
      </w:tr>
      <w:tr w:rsidR="00FE0512" w:rsidRPr="00E14B01" w:rsidTr="00E14B01">
        <w:trPr>
          <w:trHeight w:val="24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e) sonstige</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291.532,86</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16.637,60</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166.101,72</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184.288,56</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384.324,28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552.758,21</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55.214,08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351.896,76</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293.926,51</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19.672,56</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178.393,00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304.780,00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2.799.526,14</w:t>
            </w:r>
          </w:p>
        </w:tc>
      </w:tr>
      <w:tr w:rsidR="00FE0512" w:rsidRPr="00E14B01" w:rsidTr="00E14B01">
        <w:trPr>
          <w:trHeight w:val="24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f) 20% Overhead auf Personalkosten</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84.794,29</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94.094,04</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146.954,73</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208.717,90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112.424,20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216.062,09</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82.090,94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228.320,59</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28.219,72</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102.422,38</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67.646,18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197.780,78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252.207,95</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1.821.735,79</w:t>
            </w:r>
          </w:p>
        </w:tc>
      </w:tr>
      <w:tr w:rsidR="00E14B01" w:rsidRPr="00E14B01" w:rsidTr="00E14B01">
        <w:trPr>
          <w:trHeight w:val="432"/>
        </w:trPr>
        <w:tc>
          <w:tcPr>
            <w:tcW w:w="1771" w:type="dxa"/>
            <w:shd w:val="clear" w:color="auto" w:fill="auto"/>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ausschl. Hausmeister u. Wohnungsverwaltung einschließl. 20% Overhead</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58.306,57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178.492,05</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58.902,55</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628.220,12</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118.579,05</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118.020,75</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55.316,00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541.078,03</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0,00</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58.785,30</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175.480,63</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152.953,92</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532.972,02</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2.677.106,99</w:t>
            </w:r>
          </w:p>
        </w:tc>
      </w:tr>
      <w:tr w:rsidR="00FE0512" w:rsidRPr="00E14B01" w:rsidTr="00E14B01">
        <w:trPr>
          <w:trHeight w:val="270"/>
        </w:trPr>
        <w:tc>
          <w:tcPr>
            <w:tcW w:w="1771" w:type="dxa"/>
            <w:shd w:val="clear" w:color="auto" w:fill="D6E3BC" w:themeFill="accent3" w:themeFillTint="66"/>
            <w:noWrap/>
            <w:vAlign w:val="bottom"/>
            <w:hideMark/>
          </w:tcPr>
          <w:p w:rsidR="00FE0512" w:rsidRPr="00E14B01" w:rsidRDefault="00FE0512" w:rsidP="00FE0512">
            <w:pPr>
              <w:spacing w:after="0" w:line="240" w:lineRule="auto"/>
              <w:rPr>
                <w:rFonts w:eastAsia="Times New Roman" w:cs="Arial"/>
                <w:b/>
                <w:bCs/>
                <w:color w:val="000000"/>
                <w:sz w:val="13"/>
                <w:szCs w:val="13"/>
                <w:lang w:eastAsia="de-DE"/>
              </w:rPr>
            </w:pPr>
            <w:r w:rsidRPr="00E14B01">
              <w:rPr>
                <w:rFonts w:eastAsia="Times New Roman" w:cs="Arial"/>
                <w:b/>
                <w:bCs/>
                <w:color w:val="000000"/>
                <w:sz w:val="13"/>
                <w:szCs w:val="13"/>
                <w:lang w:eastAsia="de-DE"/>
              </w:rPr>
              <w:t> </w:t>
            </w:r>
            <w:r w:rsidR="00E14B01">
              <w:rPr>
                <w:rFonts w:eastAsia="Times New Roman" w:cs="Arial"/>
                <w:b/>
                <w:bCs/>
                <w:color w:val="000000"/>
                <w:sz w:val="13"/>
                <w:szCs w:val="13"/>
                <w:lang w:eastAsia="de-DE"/>
              </w:rPr>
              <w:t>Personalkosten gesamt:</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508.765,75</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564.564,24</w:t>
            </w:r>
          </w:p>
        </w:tc>
        <w:tc>
          <w:tcPr>
            <w:tcW w:w="1134" w:type="dxa"/>
            <w:gridSpan w:val="2"/>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940.630,91</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1.252.307,38</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674.545,22</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1.296.372,53</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492.545,64</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1.369.923,52</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169.318,34</w:t>
            </w:r>
          </w:p>
        </w:tc>
        <w:tc>
          <w:tcPr>
            <w:tcW w:w="992" w:type="dxa"/>
            <w:shd w:val="clear" w:color="auto" w:fill="E5B8B7" w:themeFill="accent2"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614.534,26</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405.877,09</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1.339.638,60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1.513.247,72</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i/>
                <w:iCs/>
                <w:color w:val="A6A6A6"/>
                <w:sz w:val="13"/>
                <w:szCs w:val="13"/>
                <w:lang w:eastAsia="de-DE"/>
              </w:rPr>
            </w:pPr>
            <w:r w:rsidRPr="00E14B01">
              <w:rPr>
                <w:rFonts w:eastAsia="Times New Roman" w:cs="Arial"/>
                <w:b/>
                <w:bCs/>
                <w:i/>
                <w:iCs/>
                <w:color w:val="A6A6A6"/>
                <w:sz w:val="13"/>
                <w:szCs w:val="13"/>
                <w:lang w:eastAsia="de-DE"/>
              </w:rPr>
              <w:t>10.930.414,73</w:t>
            </w:r>
          </w:p>
        </w:tc>
      </w:tr>
      <w:tr w:rsidR="00E14B01" w:rsidRPr="00E14B01" w:rsidTr="00E14B01">
        <w:trPr>
          <w:trHeight w:val="70"/>
        </w:trPr>
        <w:tc>
          <w:tcPr>
            <w:tcW w:w="16088" w:type="dxa"/>
            <w:gridSpan w:val="16"/>
            <w:shd w:val="clear" w:color="auto" w:fill="auto"/>
            <w:noWrap/>
            <w:vAlign w:val="bottom"/>
            <w:hideMark/>
          </w:tcPr>
          <w:p w:rsidR="00E14B01" w:rsidRPr="00E14B01" w:rsidRDefault="00E14B01" w:rsidP="00E14B01">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V. Sachkosten allg. Verwaltung </w:t>
            </w:r>
          </w:p>
        </w:tc>
      </w:tr>
      <w:tr w:rsidR="00FE0512" w:rsidRPr="00E14B01" w:rsidTr="00E14B01">
        <w:trPr>
          <w:trHeight w:val="175"/>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 Raumkosten</w:t>
            </w:r>
          </w:p>
        </w:tc>
        <w:tc>
          <w:tcPr>
            <w:tcW w:w="993" w:type="dxa"/>
            <w:vMerge w:val="restart"/>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86.087,50</w:t>
            </w:r>
          </w:p>
        </w:tc>
        <w:tc>
          <w:tcPr>
            <w:tcW w:w="992" w:type="dxa"/>
            <w:vMerge w:val="restart"/>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97.000,00</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46.000,00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53.484,38</w:t>
            </w:r>
          </w:p>
        </w:tc>
        <w:tc>
          <w:tcPr>
            <w:tcW w:w="992" w:type="dxa"/>
            <w:vMerge w:val="restart"/>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87.300,00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169.263,76</w:t>
            </w:r>
          </w:p>
        </w:tc>
        <w:tc>
          <w:tcPr>
            <w:tcW w:w="993" w:type="dxa"/>
            <w:vMerge w:val="restart"/>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65.766,00</w:t>
            </w:r>
          </w:p>
        </w:tc>
        <w:tc>
          <w:tcPr>
            <w:tcW w:w="992" w:type="dxa"/>
            <w:vMerge w:val="restart"/>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191.575,00</w:t>
            </w:r>
          </w:p>
        </w:tc>
        <w:tc>
          <w:tcPr>
            <w:tcW w:w="992" w:type="dxa"/>
            <w:vMerge w:val="restart"/>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195.794,50</w:t>
            </w:r>
          </w:p>
        </w:tc>
        <w:tc>
          <w:tcPr>
            <w:tcW w:w="992" w:type="dxa"/>
            <w:vMerge w:val="restart"/>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97.000,00</w:t>
            </w:r>
          </w:p>
        </w:tc>
        <w:tc>
          <w:tcPr>
            <w:tcW w:w="993" w:type="dxa"/>
            <w:vMerge w:val="restart"/>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117.855,00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122.937,00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59.941,55</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1.390.004,69</w:t>
            </w:r>
          </w:p>
        </w:tc>
      </w:tr>
      <w:tr w:rsidR="00FE0512" w:rsidRPr="00E14B01" w:rsidTr="00E14B01">
        <w:trPr>
          <w:trHeight w:val="24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 Telekommunikations</w:t>
            </w:r>
          </w:p>
        </w:tc>
        <w:tc>
          <w:tcPr>
            <w:tcW w:w="993"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2.500,00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7.640,62</w:t>
            </w: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5.616,00</w:t>
            </w:r>
          </w:p>
        </w:tc>
        <w:tc>
          <w:tcPr>
            <w:tcW w:w="993"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F2DBDB" w:themeFill="accent2" w:themeFillTint="33"/>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3"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1.336,21</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17.092,83</w:t>
            </w:r>
          </w:p>
        </w:tc>
      </w:tr>
      <w:tr w:rsidR="00FE0512" w:rsidRPr="00E14B01" w:rsidTr="00E14B01">
        <w:trPr>
          <w:trHeight w:val="24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 IT-Kosten</w:t>
            </w:r>
          </w:p>
        </w:tc>
        <w:tc>
          <w:tcPr>
            <w:tcW w:w="993"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34.500,00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42.176,25</w:t>
            </w: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46.590,97</w:t>
            </w:r>
          </w:p>
        </w:tc>
        <w:tc>
          <w:tcPr>
            <w:tcW w:w="993"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F2DBDB" w:themeFill="accent2" w:themeFillTint="33"/>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3"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67.861,00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118.593,31</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309.721,53</w:t>
            </w:r>
          </w:p>
        </w:tc>
      </w:tr>
      <w:tr w:rsidR="00FE0512" w:rsidRPr="00E14B01" w:rsidTr="00E14B01">
        <w:trPr>
          <w:trHeight w:val="24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 Geschäftskosten</w:t>
            </w:r>
          </w:p>
        </w:tc>
        <w:tc>
          <w:tcPr>
            <w:tcW w:w="993"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14.000,00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15.281,25</w:t>
            </w: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78.496,88</w:t>
            </w:r>
          </w:p>
        </w:tc>
        <w:tc>
          <w:tcPr>
            <w:tcW w:w="993"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vMerge/>
            <w:shd w:val="clear" w:color="auto" w:fill="F2DBDB" w:themeFill="accent2" w:themeFillTint="33"/>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3" w:type="dxa"/>
            <w:vMerge/>
            <w:shd w:val="clear" w:color="auto" w:fill="auto"/>
            <w:vAlign w:val="center"/>
            <w:hideMark/>
          </w:tcPr>
          <w:p w:rsidR="00FE0512" w:rsidRPr="00E14B01" w:rsidRDefault="00FE0512" w:rsidP="00E14B01">
            <w:pPr>
              <w:spacing w:after="0" w:line="240" w:lineRule="auto"/>
              <w:jc w:val="right"/>
              <w:rPr>
                <w:rFonts w:eastAsia="Times New Roman" w:cs="Arial"/>
                <w:sz w:val="13"/>
                <w:szCs w:val="13"/>
                <w:lang w:eastAsia="de-DE"/>
              </w:rPr>
            </w:pP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261.618,96</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A6A6A6"/>
                <w:sz w:val="13"/>
                <w:szCs w:val="13"/>
                <w:lang w:eastAsia="de-DE"/>
              </w:rPr>
            </w:pPr>
            <w:r w:rsidRPr="00E14B01">
              <w:rPr>
                <w:rFonts w:eastAsia="Times New Roman" w:cs="Arial"/>
                <w:i/>
                <w:iCs/>
                <w:color w:val="A6A6A6"/>
                <w:sz w:val="13"/>
                <w:szCs w:val="13"/>
                <w:lang w:eastAsia="de-DE"/>
              </w:rPr>
              <w:t>369.397,09</w:t>
            </w:r>
          </w:p>
        </w:tc>
      </w:tr>
      <w:tr w:rsidR="00FE0512" w:rsidRPr="00E14B01" w:rsidTr="00E14B01">
        <w:trPr>
          <w:trHeight w:val="270"/>
        </w:trPr>
        <w:tc>
          <w:tcPr>
            <w:tcW w:w="1771" w:type="dxa"/>
            <w:shd w:val="clear" w:color="auto" w:fill="D6E3BC" w:themeFill="accent3" w:themeFillTint="66"/>
            <w:noWrap/>
            <w:vAlign w:val="bottom"/>
            <w:hideMark/>
          </w:tcPr>
          <w:p w:rsidR="00FE0512" w:rsidRPr="00E14B01" w:rsidRDefault="00FE0512" w:rsidP="00FE0512">
            <w:pPr>
              <w:spacing w:after="0" w:line="240" w:lineRule="auto"/>
              <w:rPr>
                <w:rFonts w:eastAsia="Times New Roman" w:cs="Arial"/>
                <w:b/>
                <w:bCs/>
                <w:color w:val="000000"/>
                <w:sz w:val="13"/>
                <w:szCs w:val="13"/>
                <w:lang w:eastAsia="de-DE"/>
              </w:rPr>
            </w:pPr>
            <w:r w:rsidRPr="00E14B01">
              <w:rPr>
                <w:rFonts w:eastAsia="Times New Roman" w:cs="Arial"/>
                <w:b/>
                <w:bCs/>
                <w:color w:val="000000"/>
                <w:sz w:val="13"/>
                <w:szCs w:val="13"/>
                <w:lang w:eastAsia="de-DE"/>
              </w:rPr>
              <w:t> </w:t>
            </w:r>
            <w:r w:rsidR="00E14B01" w:rsidRPr="00E14B01">
              <w:rPr>
                <w:rFonts w:eastAsia="Times New Roman" w:cs="Arial"/>
                <w:b/>
                <w:bCs/>
                <w:color w:val="000000"/>
                <w:sz w:val="13"/>
                <w:szCs w:val="13"/>
                <w:lang w:eastAsia="de-DE"/>
              </w:rPr>
              <w:t>Sachkosten gesamt:</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86.087,50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97.000,00</w:t>
            </w:r>
          </w:p>
        </w:tc>
        <w:tc>
          <w:tcPr>
            <w:tcW w:w="1134" w:type="dxa"/>
            <w:gridSpan w:val="2"/>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97.000,00</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118.582,50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87.300,00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299.967,61</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65.766,00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191.575,00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195.794,50</w:t>
            </w:r>
          </w:p>
        </w:tc>
        <w:tc>
          <w:tcPr>
            <w:tcW w:w="992" w:type="dxa"/>
            <w:shd w:val="clear" w:color="auto" w:fill="E5B8B7" w:themeFill="accent2" w:themeFillTint="66"/>
            <w:noWrap/>
            <w:vAlign w:val="center"/>
            <w:hideMark/>
          </w:tcPr>
          <w:p w:rsidR="00FE0512" w:rsidRPr="00E14B01" w:rsidRDefault="00FE0512" w:rsidP="00E14B01">
            <w:pPr>
              <w:spacing w:after="0" w:line="240" w:lineRule="auto"/>
              <w:jc w:val="right"/>
              <w:rPr>
                <w:rFonts w:eastAsia="Times New Roman" w:cs="Arial"/>
                <w:b/>
                <w:sz w:val="13"/>
                <w:szCs w:val="13"/>
                <w:lang w:eastAsia="de-DE"/>
              </w:rPr>
            </w:pPr>
            <w:r w:rsidRPr="00E14B01">
              <w:rPr>
                <w:rFonts w:eastAsia="Times New Roman" w:cs="Arial"/>
                <w:b/>
                <w:sz w:val="13"/>
                <w:szCs w:val="13"/>
                <w:lang w:eastAsia="de-DE"/>
              </w:rPr>
              <w:t>97.000,00</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117.855,00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190.798,00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441.490,03</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i/>
                <w:iCs/>
                <w:color w:val="A6A6A6"/>
                <w:sz w:val="13"/>
                <w:szCs w:val="13"/>
                <w:lang w:eastAsia="de-DE"/>
              </w:rPr>
            </w:pPr>
            <w:r w:rsidRPr="00E14B01">
              <w:rPr>
                <w:rFonts w:eastAsia="Times New Roman" w:cs="Arial"/>
                <w:b/>
                <w:bCs/>
                <w:i/>
                <w:iCs/>
                <w:color w:val="A6A6A6"/>
                <w:sz w:val="13"/>
                <w:szCs w:val="13"/>
                <w:lang w:eastAsia="de-DE"/>
              </w:rPr>
              <w:t>2.086.216,14</w:t>
            </w:r>
          </w:p>
        </w:tc>
      </w:tr>
      <w:tr w:rsidR="00FE0512" w:rsidRPr="00E14B01" w:rsidTr="00E14B01">
        <w:trPr>
          <w:trHeight w:val="215"/>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Erträge</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48.451,65</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99.965,87</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35.111,29</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44.804,82</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32.304,65</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88.354,08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68.491,76</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11.771,72</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10.595,23</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162.970,61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0,00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i/>
                <w:iCs/>
                <w:color w:val="A6A6A6"/>
                <w:sz w:val="13"/>
                <w:szCs w:val="13"/>
                <w:lang w:eastAsia="de-DE"/>
              </w:rPr>
            </w:pPr>
            <w:r w:rsidRPr="00E14B01">
              <w:rPr>
                <w:rFonts w:eastAsia="Times New Roman" w:cs="Arial"/>
                <w:bCs/>
                <w:i/>
                <w:iCs/>
                <w:color w:val="A6A6A6"/>
                <w:sz w:val="13"/>
                <w:szCs w:val="13"/>
                <w:lang w:eastAsia="de-DE"/>
              </w:rPr>
              <w:t>602.821,68</w:t>
            </w:r>
          </w:p>
        </w:tc>
      </w:tr>
      <w:tr w:rsidR="00E14B01" w:rsidRPr="00E14B01" w:rsidTr="00E14B01">
        <w:trPr>
          <w:trHeight w:val="274"/>
        </w:trPr>
        <w:tc>
          <w:tcPr>
            <w:tcW w:w="1771" w:type="dxa"/>
            <w:shd w:val="clear" w:color="auto" w:fill="D6E3BC" w:themeFill="accent3" w:themeFillTint="66"/>
            <w:hideMark/>
          </w:tcPr>
          <w:p w:rsidR="00FE0512" w:rsidRPr="00E14B01" w:rsidRDefault="00FE0512" w:rsidP="00FE0512">
            <w:pPr>
              <w:spacing w:after="0" w:line="240" w:lineRule="auto"/>
              <w:rPr>
                <w:rFonts w:eastAsia="Times New Roman" w:cs="Arial"/>
                <w:b/>
                <w:bCs/>
                <w:color w:val="000000"/>
                <w:sz w:val="13"/>
                <w:szCs w:val="13"/>
                <w:lang w:eastAsia="de-DE"/>
              </w:rPr>
            </w:pPr>
            <w:r w:rsidRPr="00E14B01">
              <w:rPr>
                <w:rFonts w:eastAsia="Times New Roman" w:cs="Arial"/>
                <w:b/>
                <w:bCs/>
                <w:color w:val="000000"/>
                <w:sz w:val="13"/>
                <w:szCs w:val="13"/>
                <w:lang w:eastAsia="de-DE"/>
              </w:rPr>
              <w:t xml:space="preserve">Gesamtkosten </w:t>
            </w:r>
            <w:r w:rsidRPr="00E14B01">
              <w:rPr>
                <w:rFonts w:eastAsia="Times New Roman" w:cs="Arial"/>
                <w:b/>
                <w:bCs/>
                <w:color w:val="000000"/>
                <w:sz w:val="13"/>
                <w:szCs w:val="13"/>
                <w:lang w:eastAsia="de-DE"/>
              </w:rPr>
              <w:br/>
            </w:r>
            <w:r w:rsidRPr="00E14B01">
              <w:rPr>
                <w:rFonts w:eastAsia="Times New Roman" w:cs="Arial"/>
                <w:b/>
                <w:color w:val="000000"/>
                <w:sz w:val="13"/>
                <w:szCs w:val="13"/>
                <w:lang w:eastAsia="de-DE"/>
              </w:rPr>
              <w:t>ohne Erträge</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6.664.754,66</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10.667.671,22</w:t>
            </w:r>
          </w:p>
        </w:tc>
        <w:tc>
          <w:tcPr>
            <w:tcW w:w="1134" w:type="dxa"/>
            <w:gridSpan w:val="2"/>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13.383.353,50</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16.268.579,91</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5.647.034,89</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10.857.816,43</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16.137.493,34</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13.900.033,26</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8.810.097,69</w:t>
            </w:r>
          </w:p>
        </w:tc>
        <w:tc>
          <w:tcPr>
            <w:tcW w:w="992" w:type="dxa"/>
            <w:shd w:val="clear" w:color="auto" w:fill="E5B8B7" w:themeFill="accent2"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8.733.539,46</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6.170.834,49</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17.978.488,63</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18.641.719,78</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i/>
                <w:iCs/>
                <w:color w:val="A6A6A6"/>
                <w:sz w:val="13"/>
                <w:szCs w:val="13"/>
                <w:lang w:eastAsia="de-DE"/>
              </w:rPr>
            </w:pPr>
            <w:r w:rsidRPr="00E14B01">
              <w:rPr>
                <w:rFonts w:eastAsia="Times New Roman" w:cs="Arial"/>
                <w:b/>
                <w:bCs/>
                <w:i/>
                <w:iCs/>
                <w:color w:val="A6A6A6"/>
                <w:sz w:val="13"/>
                <w:szCs w:val="13"/>
                <w:lang w:eastAsia="de-DE"/>
              </w:rPr>
              <w:t>153.649.560,79</w:t>
            </w:r>
          </w:p>
        </w:tc>
      </w:tr>
      <w:tr w:rsidR="00E14B01" w:rsidRPr="00E14B01" w:rsidTr="00E14B01">
        <w:trPr>
          <w:trHeight w:val="419"/>
        </w:trPr>
        <w:tc>
          <w:tcPr>
            <w:tcW w:w="1771" w:type="dxa"/>
            <w:shd w:val="clear" w:color="auto" w:fill="D6E3BC" w:themeFill="accent3" w:themeFillTint="66"/>
            <w:hideMark/>
          </w:tcPr>
          <w:p w:rsidR="00FE0512" w:rsidRPr="00E14B01" w:rsidRDefault="00FE0512" w:rsidP="00FE0512">
            <w:pPr>
              <w:spacing w:after="0" w:line="240" w:lineRule="auto"/>
              <w:rPr>
                <w:rFonts w:eastAsia="Times New Roman" w:cs="Arial"/>
                <w:b/>
                <w:bCs/>
                <w:color w:val="000000"/>
                <w:sz w:val="13"/>
                <w:szCs w:val="13"/>
                <w:lang w:eastAsia="de-DE"/>
              </w:rPr>
            </w:pPr>
            <w:r w:rsidRPr="00E14B01">
              <w:rPr>
                <w:rFonts w:eastAsia="Times New Roman" w:cs="Arial"/>
                <w:b/>
                <w:bCs/>
                <w:color w:val="000000"/>
                <w:sz w:val="13"/>
                <w:szCs w:val="13"/>
                <w:lang w:eastAsia="de-DE"/>
              </w:rPr>
              <w:t xml:space="preserve">Gesamtkosten </w:t>
            </w:r>
            <w:r w:rsidRPr="00E14B01">
              <w:rPr>
                <w:rFonts w:eastAsia="Times New Roman" w:cs="Arial"/>
                <w:b/>
                <w:bCs/>
                <w:color w:val="000000"/>
                <w:sz w:val="13"/>
                <w:szCs w:val="13"/>
                <w:lang w:eastAsia="de-DE"/>
              </w:rPr>
              <w:br/>
            </w:r>
            <w:r w:rsidRPr="00E14B01">
              <w:rPr>
                <w:rFonts w:eastAsia="Times New Roman" w:cs="Arial"/>
                <w:b/>
                <w:color w:val="000000"/>
                <w:sz w:val="13"/>
                <w:szCs w:val="13"/>
                <w:lang w:eastAsia="de-DE"/>
              </w:rPr>
              <w:t>abzgl. Erträge, Personal zzgl. Hausmeister</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6.214.295,48</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10.281.599,03</w:t>
            </w:r>
          </w:p>
        </w:tc>
        <w:tc>
          <w:tcPr>
            <w:tcW w:w="1134" w:type="dxa"/>
            <w:gridSpan w:val="2"/>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12.501.625,14</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15.644.492,65</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5.091.068,72</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9.679.464,65</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15.700.263,70</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13.071.187,77</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8.640.779,35</w:t>
            </w:r>
          </w:p>
        </w:tc>
        <w:tc>
          <w:tcPr>
            <w:tcW w:w="992" w:type="dxa"/>
            <w:shd w:val="clear" w:color="auto" w:fill="E5B8B7" w:themeFill="accent2"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8.177.790,50</w:t>
            </w:r>
          </w:p>
        </w:tc>
        <w:tc>
          <w:tcPr>
            <w:tcW w:w="993"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5.940.438,03</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16.791.803,95</w:t>
            </w:r>
          </w:p>
        </w:tc>
        <w:tc>
          <w:tcPr>
            <w:tcW w:w="992"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sz w:val="13"/>
                <w:szCs w:val="13"/>
                <w:lang w:eastAsia="de-DE"/>
              </w:rPr>
            </w:pPr>
            <w:r w:rsidRPr="00E14B01">
              <w:rPr>
                <w:rFonts w:eastAsia="Times New Roman" w:cs="Arial"/>
                <w:b/>
                <w:bCs/>
                <w:sz w:val="13"/>
                <w:szCs w:val="13"/>
                <w:lang w:eastAsia="de-DE"/>
              </w:rPr>
              <w:t>17.661.444,08</w:t>
            </w:r>
          </w:p>
        </w:tc>
        <w:tc>
          <w:tcPr>
            <w:tcW w:w="1134" w:type="dxa"/>
            <w:shd w:val="clear" w:color="auto" w:fill="D6E3BC" w:themeFill="accent3" w:themeFillTint="66"/>
            <w:noWrap/>
            <w:vAlign w:val="center"/>
            <w:hideMark/>
          </w:tcPr>
          <w:p w:rsidR="00FE0512" w:rsidRPr="00E14B01" w:rsidRDefault="00FE0512" w:rsidP="00E14B01">
            <w:pPr>
              <w:spacing w:after="0" w:line="240" w:lineRule="auto"/>
              <w:jc w:val="right"/>
              <w:rPr>
                <w:rFonts w:eastAsia="Times New Roman" w:cs="Arial"/>
                <w:b/>
                <w:bCs/>
                <w:i/>
                <w:iCs/>
                <w:color w:val="A6A6A6"/>
                <w:sz w:val="13"/>
                <w:szCs w:val="13"/>
                <w:lang w:eastAsia="de-DE"/>
              </w:rPr>
            </w:pPr>
            <w:r w:rsidRPr="00E14B01">
              <w:rPr>
                <w:rFonts w:eastAsia="Times New Roman" w:cs="Arial"/>
                <w:b/>
                <w:bCs/>
                <w:i/>
                <w:iCs/>
                <w:color w:val="A6A6A6"/>
                <w:sz w:val="13"/>
                <w:szCs w:val="13"/>
                <w:lang w:eastAsia="de-DE"/>
              </w:rPr>
              <w:t>145.396.253,05</w:t>
            </w:r>
          </w:p>
        </w:tc>
      </w:tr>
      <w:tr w:rsidR="00E14B01" w:rsidRPr="00E14B01" w:rsidTr="00E14B01">
        <w:trPr>
          <w:trHeight w:val="217"/>
        </w:trPr>
        <w:tc>
          <w:tcPr>
            <w:tcW w:w="1771" w:type="dxa"/>
            <w:shd w:val="clear" w:color="auto" w:fill="auto"/>
            <w:hideMark/>
          </w:tcPr>
          <w:p w:rsidR="00FE0512" w:rsidRPr="00E14B01" w:rsidRDefault="00FE0512" w:rsidP="00FE0512">
            <w:pPr>
              <w:spacing w:after="0" w:line="240" w:lineRule="auto"/>
              <w:rPr>
                <w:rFonts w:eastAsia="Times New Roman" w:cs="Arial"/>
                <w:bCs/>
                <w:color w:val="000000"/>
                <w:sz w:val="13"/>
                <w:szCs w:val="13"/>
                <w:lang w:eastAsia="de-DE"/>
              </w:rPr>
            </w:pPr>
            <w:r w:rsidRPr="00E14B01">
              <w:rPr>
                <w:rFonts w:eastAsia="Times New Roman" w:cs="Arial"/>
                <w:bCs/>
                <w:color w:val="000000"/>
                <w:sz w:val="13"/>
                <w:szCs w:val="13"/>
                <w:lang w:eastAsia="de-DE"/>
              </w:rPr>
              <w:t>aufhältige Asylbewerber und Geduldete (Summe der durchschnittlichen Quartalszahlen)</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2.243</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4.369</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5.003</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5.127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1.666</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3.734</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5.154</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6.541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3.368</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2.887</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2.148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6.567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bCs/>
                <w:sz w:val="13"/>
                <w:szCs w:val="13"/>
                <w:lang w:eastAsia="de-DE"/>
              </w:rPr>
            </w:pPr>
            <w:r w:rsidRPr="00E14B01">
              <w:rPr>
                <w:rFonts w:eastAsia="Times New Roman" w:cs="Arial"/>
                <w:bCs/>
                <w:sz w:val="13"/>
                <w:szCs w:val="13"/>
                <w:lang w:eastAsia="de-DE"/>
              </w:rPr>
              <w:t>6.747</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bCs/>
                <w:color w:val="A6A6A6" w:themeColor="background1" w:themeShade="A6"/>
                <w:sz w:val="13"/>
                <w:szCs w:val="13"/>
                <w:lang w:eastAsia="de-DE"/>
              </w:rPr>
            </w:pPr>
            <w:r w:rsidRPr="00E14B01">
              <w:rPr>
                <w:rFonts w:eastAsia="Times New Roman" w:cs="Arial"/>
                <w:bCs/>
                <w:color w:val="A6A6A6" w:themeColor="background1" w:themeShade="A6"/>
                <w:sz w:val="13"/>
                <w:szCs w:val="13"/>
                <w:lang w:eastAsia="de-DE"/>
              </w:rPr>
              <w:t>13.889</w:t>
            </w:r>
          </w:p>
        </w:tc>
      </w:tr>
      <w:tr w:rsidR="00FE0512" w:rsidRPr="00E14B01" w:rsidTr="00E14B01">
        <w:trPr>
          <w:trHeight w:val="7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 </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i/>
                <w:iCs/>
                <w:color w:val="7030A0"/>
                <w:sz w:val="13"/>
                <w:szCs w:val="13"/>
                <w:lang w:eastAsia="de-DE"/>
              </w:rPr>
            </w:pPr>
            <w:r w:rsidRPr="00E14B01">
              <w:rPr>
                <w:rFonts w:eastAsia="Times New Roman" w:cs="Arial"/>
                <w:i/>
                <w:iCs/>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7030A0"/>
                <w:sz w:val="13"/>
                <w:szCs w:val="13"/>
                <w:lang w:eastAsia="de-DE"/>
              </w:rPr>
            </w:pPr>
            <w:r w:rsidRPr="00E14B01">
              <w:rPr>
                <w:rFonts w:eastAsia="Times New Roman" w:cs="Arial"/>
                <w:color w:val="7030A0"/>
                <w:sz w:val="13"/>
                <w:szCs w:val="13"/>
                <w:lang w:eastAsia="de-DE"/>
              </w:rPr>
              <w:t> </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color w:val="A6A6A6" w:themeColor="background1" w:themeShade="A6"/>
                <w:sz w:val="13"/>
                <w:szCs w:val="13"/>
                <w:lang w:eastAsia="de-DE"/>
              </w:rPr>
            </w:pPr>
            <w:r w:rsidRPr="00E14B01">
              <w:rPr>
                <w:rFonts w:eastAsia="Times New Roman" w:cs="Arial"/>
                <w:color w:val="A6A6A6" w:themeColor="background1" w:themeShade="A6"/>
                <w:sz w:val="13"/>
                <w:szCs w:val="13"/>
                <w:lang w:eastAsia="de-DE"/>
              </w:rPr>
              <w:t> </w:t>
            </w:r>
          </w:p>
        </w:tc>
      </w:tr>
      <w:tr w:rsidR="00FE0512" w:rsidRPr="00E14B01" w:rsidTr="00E14B01">
        <w:trPr>
          <w:trHeight w:val="27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0000"/>
                <w:sz w:val="13"/>
                <w:szCs w:val="13"/>
                <w:lang w:eastAsia="de-DE"/>
              </w:rPr>
            </w:pPr>
            <w:r w:rsidRPr="00E14B01">
              <w:rPr>
                <w:rFonts w:eastAsia="Times New Roman" w:cs="Arial"/>
                <w:color w:val="000000"/>
                <w:sz w:val="13"/>
                <w:szCs w:val="13"/>
                <w:lang w:eastAsia="de-DE"/>
              </w:rPr>
              <w:t>Kosten pro Jahr / Person</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11.082,11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9.413,23</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9.995,30</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12.205,57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12.223,45</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10.369,00</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12.184,92</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7.993,39</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10.262,21</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11.330,50</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11.062,27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10.227,99</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sz w:val="13"/>
                <w:szCs w:val="13"/>
                <w:lang w:eastAsia="de-DE"/>
              </w:rPr>
            </w:pPr>
            <w:r w:rsidRPr="00E14B01">
              <w:rPr>
                <w:rFonts w:eastAsia="Times New Roman" w:cs="Arial"/>
                <w:sz w:val="13"/>
                <w:szCs w:val="13"/>
                <w:lang w:eastAsia="de-DE"/>
              </w:rPr>
              <w:t>10.470,69</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color w:val="A6A6A6" w:themeColor="background1" w:themeShade="A6"/>
                <w:sz w:val="13"/>
                <w:szCs w:val="13"/>
                <w:lang w:eastAsia="de-DE"/>
              </w:rPr>
            </w:pPr>
            <w:r w:rsidRPr="00E14B01">
              <w:rPr>
                <w:rFonts w:eastAsia="Times New Roman" w:cs="Arial"/>
                <w:color w:val="A6A6A6" w:themeColor="background1" w:themeShade="A6"/>
                <w:sz w:val="13"/>
                <w:szCs w:val="13"/>
                <w:lang w:eastAsia="de-DE"/>
              </w:rPr>
              <w:t>10.468,82</w:t>
            </w:r>
          </w:p>
        </w:tc>
      </w:tr>
      <w:tr w:rsidR="00FE0512" w:rsidRPr="00FE0512" w:rsidTr="00E14B01">
        <w:trPr>
          <w:trHeight w:val="270"/>
        </w:trPr>
        <w:tc>
          <w:tcPr>
            <w:tcW w:w="1771" w:type="dxa"/>
            <w:shd w:val="clear" w:color="auto" w:fill="auto"/>
            <w:noWrap/>
            <w:vAlign w:val="bottom"/>
            <w:hideMark/>
          </w:tcPr>
          <w:p w:rsidR="00FE0512" w:rsidRPr="00E14B01" w:rsidRDefault="00FE0512" w:rsidP="00FE0512">
            <w:pPr>
              <w:spacing w:after="0" w:line="240" w:lineRule="auto"/>
              <w:rPr>
                <w:rFonts w:eastAsia="Times New Roman" w:cs="Arial"/>
                <w:color w:val="0070C0"/>
                <w:sz w:val="13"/>
                <w:szCs w:val="13"/>
                <w:lang w:eastAsia="de-DE"/>
              </w:rPr>
            </w:pPr>
            <w:r w:rsidRPr="00E14B01">
              <w:rPr>
                <w:rFonts w:eastAsia="Times New Roman" w:cs="Arial"/>
                <w:color w:val="0070C0"/>
                <w:sz w:val="13"/>
                <w:szCs w:val="13"/>
                <w:lang w:eastAsia="de-DE"/>
              </w:rPr>
              <w:t>Kosten pro Tag / Person</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32,56</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26,76</w:t>
            </w:r>
          </w:p>
        </w:tc>
        <w:tc>
          <w:tcPr>
            <w:tcW w:w="1134" w:type="dxa"/>
            <w:gridSpan w:val="2"/>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29,32</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34,77</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37,15</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31,87</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34,31</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23,29</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28,67</w:t>
            </w:r>
          </w:p>
        </w:tc>
        <w:tc>
          <w:tcPr>
            <w:tcW w:w="992" w:type="dxa"/>
            <w:shd w:val="clear" w:color="auto" w:fill="F2DBDB" w:themeFill="accent2" w:themeFillTint="33"/>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33,15</w:t>
            </w:r>
          </w:p>
        </w:tc>
        <w:tc>
          <w:tcPr>
            <w:tcW w:w="993"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31,48</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30,00</w:t>
            </w:r>
          </w:p>
        </w:tc>
        <w:tc>
          <w:tcPr>
            <w:tcW w:w="992"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30,28</w:t>
            </w:r>
          </w:p>
        </w:tc>
        <w:tc>
          <w:tcPr>
            <w:tcW w:w="1134" w:type="dxa"/>
            <w:shd w:val="clear" w:color="auto" w:fill="auto"/>
            <w:noWrap/>
            <w:vAlign w:val="center"/>
            <w:hideMark/>
          </w:tcPr>
          <w:p w:rsidR="00FE0512" w:rsidRPr="00E14B01" w:rsidRDefault="00FE0512" w:rsidP="00E14B01">
            <w:pPr>
              <w:spacing w:after="0" w:line="240" w:lineRule="auto"/>
              <w:jc w:val="right"/>
              <w:rPr>
                <w:rFonts w:eastAsia="Times New Roman" w:cs="Arial"/>
                <w:color w:val="0070C0"/>
                <w:sz w:val="13"/>
                <w:szCs w:val="13"/>
                <w:lang w:eastAsia="de-DE"/>
              </w:rPr>
            </w:pPr>
            <w:r w:rsidRPr="00E14B01">
              <w:rPr>
                <w:rFonts w:eastAsia="Times New Roman" w:cs="Arial"/>
                <w:color w:val="0070C0"/>
                <w:sz w:val="13"/>
                <w:szCs w:val="13"/>
                <w:lang w:eastAsia="de-DE"/>
              </w:rPr>
              <w:t>28,68</w:t>
            </w:r>
          </w:p>
        </w:tc>
      </w:tr>
    </w:tbl>
    <w:p w:rsidR="009439AB" w:rsidRPr="00E14B01" w:rsidRDefault="009439AB" w:rsidP="009439AB">
      <w:pPr>
        <w:rPr>
          <w:sz w:val="2"/>
          <w:szCs w:val="2"/>
        </w:rPr>
        <w:sectPr w:rsidR="009439AB" w:rsidRPr="00E14B01" w:rsidSect="00E14B01">
          <w:pgSz w:w="16838" w:h="11906" w:orient="landscape"/>
          <w:pgMar w:top="709" w:right="1418" w:bottom="426" w:left="1134" w:header="557" w:footer="200" w:gutter="0"/>
          <w:cols w:space="708"/>
          <w:docGrid w:linePitch="360"/>
        </w:sectPr>
      </w:pPr>
    </w:p>
    <w:tbl>
      <w:tblPr>
        <w:tblW w:w="16019" w:type="dxa"/>
        <w:tblInd w:w="-781" w:type="dxa"/>
        <w:tblLayout w:type="fixed"/>
        <w:tblCellMar>
          <w:left w:w="70" w:type="dxa"/>
          <w:right w:w="70" w:type="dxa"/>
        </w:tblCellMar>
        <w:tblLook w:val="04A0" w:firstRow="1" w:lastRow="0" w:firstColumn="1" w:lastColumn="0" w:noHBand="0" w:noVBand="1"/>
      </w:tblPr>
      <w:tblGrid>
        <w:gridCol w:w="1418"/>
        <w:gridCol w:w="993"/>
        <w:gridCol w:w="992"/>
        <w:gridCol w:w="1134"/>
        <w:gridCol w:w="1134"/>
        <w:gridCol w:w="992"/>
        <w:gridCol w:w="992"/>
        <w:gridCol w:w="993"/>
        <w:gridCol w:w="992"/>
        <w:gridCol w:w="850"/>
        <w:gridCol w:w="851"/>
        <w:gridCol w:w="850"/>
        <w:gridCol w:w="851"/>
        <w:gridCol w:w="992"/>
        <w:gridCol w:w="992"/>
        <w:gridCol w:w="993"/>
      </w:tblGrid>
      <w:tr w:rsidR="00E14B01" w:rsidRPr="00E14B01" w:rsidTr="00E14B01">
        <w:trPr>
          <w:trHeight w:val="128"/>
        </w:trPr>
        <w:tc>
          <w:tcPr>
            <w:tcW w:w="16019" w:type="dxa"/>
            <w:gridSpan w:val="16"/>
            <w:tcBorders>
              <w:bottom w:val="single" w:sz="4" w:space="0" w:color="808080"/>
            </w:tcBorders>
            <w:shd w:val="clear" w:color="auto" w:fill="auto"/>
            <w:vAlign w:val="bottom"/>
          </w:tcPr>
          <w:p w:rsidR="00E14B01" w:rsidRPr="00E14B01" w:rsidRDefault="00E14B01" w:rsidP="00E14B01">
            <w:pPr>
              <w:spacing w:after="0" w:line="240" w:lineRule="auto"/>
              <w:rPr>
                <w:rFonts w:eastAsia="Times New Roman" w:cs="Arial"/>
                <w:b/>
                <w:bCs/>
                <w:color w:val="000000"/>
                <w:szCs w:val="20"/>
                <w:lang w:eastAsia="de-DE"/>
              </w:rPr>
            </w:pPr>
            <w:r w:rsidRPr="00E14B01">
              <w:rPr>
                <w:rFonts w:eastAsia="Times New Roman" w:cs="Arial"/>
                <w:bCs/>
                <w:color w:val="000000"/>
                <w:szCs w:val="20"/>
                <w:lang w:eastAsia="de-DE"/>
              </w:rPr>
              <w:t xml:space="preserve">Kostenerhebung für die Pauschale 2016 des Ministerium für Inneres und Sport  – Tabelle 2 </w:t>
            </w:r>
            <w:r w:rsidRPr="00E14B01">
              <w:rPr>
                <w:rFonts w:eastAsia="Times New Roman" w:cs="Arial"/>
                <w:bCs/>
                <w:szCs w:val="20"/>
                <w:lang w:eastAsia="de-DE"/>
              </w:rPr>
              <w:t>(Aufwendungen/Kosten des Jahres 2016)</w:t>
            </w:r>
          </w:p>
        </w:tc>
      </w:tr>
      <w:tr w:rsidR="00E14B01" w:rsidRPr="00E14B01" w:rsidTr="00F26878">
        <w:trPr>
          <w:trHeight w:val="12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1134"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1134"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993"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850"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851"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850"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851"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c>
          <w:tcPr>
            <w:tcW w:w="993" w:type="dxa"/>
            <w:tcBorders>
              <w:top w:val="single" w:sz="4" w:space="0" w:color="808080"/>
              <w:left w:val="nil"/>
              <w:bottom w:val="single" w:sz="4" w:space="0" w:color="808080"/>
              <w:right w:val="single" w:sz="4" w:space="0" w:color="808080"/>
            </w:tcBorders>
            <w:shd w:val="clear" w:color="auto" w:fill="auto"/>
            <w:vAlign w:val="center"/>
          </w:tcPr>
          <w:p w:rsidR="00E14B01" w:rsidRPr="00E14B01" w:rsidRDefault="00E14B01" w:rsidP="00E14B01">
            <w:pPr>
              <w:spacing w:after="0" w:line="240" w:lineRule="auto"/>
              <w:jc w:val="center"/>
              <w:rPr>
                <w:rFonts w:eastAsia="Times New Roman" w:cs="Arial"/>
                <w:b/>
                <w:bCs/>
                <w:color w:val="000000"/>
                <w:sz w:val="12"/>
                <w:szCs w:val="13"/>
                <w:lang w:eastAsia="de-DE"/>
              </w:rPr>
            </w:pPr>
          </w:p>
        </w:tc>
      </w:tr>
      <w:tr w:rsidR="00E14B01" w:rsidRPr="00E14B01" w:rsidTr="00F26878">
        <w:trPr>
          <w:trHeight w:val="225"/>
        </w:trPr>
        <w:tc>
          <w:tcPr>
            <w:tcW w:w="16019" w:type="dxa"/>
            <w:gridSpan w:val="16"/>
            <w:tcBorders>
              <w:top w:val="single" w:sz="4" w:space="0" w:color="808080"/>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b/>
                <w:bCs/>
                <w:color w:val="000000"/>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5D62CC">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5D62CC">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A6A6A6" w:themeColor="background1" w:themeShade="A6"/>
                <w:sz w:val="12"/>
                <w:szCs w:val="13"/>
                <w:lang w:eastAsia="de-DE"/>
              </w:rPr>
            </w:pPr>
          </w:p>
        </w:tc>
      </w:tr>
      <w:tr w:rsidR="00E14B01" w:rsidRPr="00E14B01" w:rsidTr="00F26878">
        <w:trPr>
          <w:trHeight w:val="225"/>
        </w:trPr>
        <w:tc>
          <w:tcPr>
            <w:tcW w:w="2411" w:type="dxa"/>
            <w:gridSpan w:val="2"/>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bottom"/>
          </w:tcPr>
          <w:p w:rsidR="00E14B01" w:rsidRPr="00E14B01" w:rsidRDefault="00E14B01" w:rsidP="00E14B01">
            <w:pPr>
              <w:spacing w:after="0" w:line="240" w:lineRule="auto"/>
              <w:rPr>
                <w:rFonts w:eastAsia="Times New Roman" w:cs="Arial"/>
                <w:color w:val="A6A6A6" w:themeColor="background1" w:themeShade="A6"/>
                <w:sz w:val="12"/>
                <w:szCs w:val="13"/>
                <w:lang w:eastAsia="de-DE"/>
              </w:rPr>
            </w:pPr>
          </w:p>
        </w:tc>
      </w:tr>
      <w:tr w:rsidR="00E14B01" w:rsidRPr="00E14B01" w:rsidTr="00F26878">
        <w:trPr>
          <w:trHeight w:val="33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5D62CC">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91D47" w:rsidRDefault="00E14B01" w:rsidP="005D62CC">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5D62CC">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5D62CC">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91D47" w:rsidRDefault="00E14B01" w:rsidP="00410CE9">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410CE9">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410CE9">
            <w:pPr>
              <w:spacing w:after="0" w:line="240" w:lineRule="auto"/>
              <w:jc w:val="right"/>
              <w:rPr>
                <w:rFonts w:eastAsia="Times New Roman" w:cs="Arial"/>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5D62CC">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91D47">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91D47" w:rsidRDefault="00E14B01" w:rsidP="00E91D47">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410CE9">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91D47"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410CE9">
            <w:pPr>
              <w:spacing w:after="0" w:line="240" w:lineRule="auto"/>
              <w:jc w:val="right"/>
              <w:rPr>
                <w:rFonts w:eastAsia="Times New Roman" w:cs="Arial"/>
                <w:color w:val="A6A6A6" w:themeColor="background1" w:themeShade="A6"/>
                <w:sz w:val="12"/>
                <w:szCs w:val="13"/>
                <w:lang w:eastAsia="de-DE"/>
              </w:rPr>
            </w:pPr>
          </w:p>
        </w:tc>
      </w:tr>
      <w:tr w:rsidR="00E14B01" w:rsidRPr="00E14B01" w:rsidTr="00F26878">
        <w:trPr>
          <w:trHeight w:val="225"/>
        </w:trPr>
        <w:tc>
          <w:tcPr>
            <w:tcW w:w="1418" w:type="dxa"/>
            <w:tcBorders>
              <w:top w:val="single" w:sz="4" w:space="0" w:color="808080"/>
              <w:left w:val="single" w:sz="4" w:space="0" w:color="808080"/>
              <w:bottom w:val="single" w:sz="4" w:space="0" w:color="808080"/>
              <w:right w:val="single" w:sz="4" w:space="0" w:color="808080"/>
            </w:tcBorders>
            <w:shd w:val="clear" w:color="auto" w:fill="D6E3BC" w:themeFill="accent3" w:themeFillTint="66"/>
            <w:vAlign w:val="bottom"/>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410CE9">
            <w:pPr>
              <w:spacing w:after="0" w:line="240" w:lineRule="auto"/>
              <w:jc w:val="right"/>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410CE9">
            <w:pPr>
              <w:spacing w:after="0" w:line="240" w:lineRule="auto"/>
              <w:jc w:val="right"/>
              <w:rPr>
                <w:rFonts w:eastAsia="Times New Roman" w:cs="Arial"/>
                <w:b/>
                <w:bCs/>
                <w:color w:val="000000"/>
                <w:sz w:val="12"/>
                <w:szCs w:val="13"/>
                <w:lang w:eastAsia="de-DE"/>
              </w:rPr>
            </w:pPr>
          </w:p>
        </w:tc>
        <w:tc>
          <w:tcPr>
            <w:tcW w:w="1134"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1134"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E91D47">
            <w:pPr>
              <w:spacing w:after="0" w:line="240" w:lineRule="auto"/>
              <w:jc w:val="right"/>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E91D47">
            <w:pPr>
              <w:spacing w:after="0" w:line="240" w:lineRule="auto"/>
              <w:jc w:val="right"/>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0"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91D47" w:rsidRDefault="00E14B01" w:rsidP="00E14B01">
            <w:pPr>
              <w:spacing w:after="0" w:line="240" w:lineRule="auto"/>
              <w:jc w:val="right"/>
              <w:rPr>
                <w:rFonts w:eastAsia="Times New Roman" w:cs="Arial"/>
                <w:b/>
                <w:bCs/>
                <w:color w:val="000000"/>
                <w:sz w:val="11"/>
                <w:szCs w:val="11"/>
                <w:lang w:eastAsia="de-DE"/>
              </w:rPr>
            </w:pPr>
          </w:p>
        </w:tc>
        <w:tc>
          <w:tcPr>
            <w:tcW w:w="851"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91D47" w:rsidRDefault="00E14B01" w:rsidP="00E14B01">
            <w:pPr>
              <w:spacing w:after="0" w:line="240" w:lineRule="auto"/>
              <w:jc w:val="right"/>
              <w:rPr>
                <w:rFonts w:eastAsia="Times New Roman" w:cs="Arial"/>
                <w:b/>
                <w:bCs/>
                <w:color w:val="000000"/>
                <w:sz w:val="12"/>
                <w:szCs w:val="13"/>
                <w:lang w:eastAsia="de-DE"/>
              </w:rPr>
            </w:pPr>
          </w:p>
        </w:tc>
        <w:tc>
          <w:tcPr>
            <w:tcW w:w="850"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91D47" w:rsidRDefault="00E14B01" w:rsidP="002D319E">
            <w:pPr>
              <w:spacing w:after="0" w:line="240" w:lineRule="auto"/>
              <w:jc w:val="right"/>
              <w:rPr>
                <w:rFonts w:eastAsia="Times New Roman" w:cs="Arial"/>
                <w:b/>
                <w:bCs/>
                <w:color w:val="000000"/>
                <w:sz w:val="11"/>
                <w:szCs w:val="11"/>
                <w:lang w:eastAsia="de-DE"/>
              </w:rPr>
            </w:pPr>
          </w:p>
        </w:tc>
        <w:tc>
          <w:tcPr>
            <w:tcW w:w="851"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91D47" w:rsidRDefault="00E14B01" w:rsidP="00E14B01">
            <w:pPr>
              <w:spacing w:after="0" w:line="240" w:lineRule="auto"/>
              <w:jc w:val="right"/>
              <w:rPr>
                <w:rFonts w:eastAsia="Times New Roman" w:cs="Arial"/>
                <w:b/>
                <w:bCs/>
                <w:color w:val="000000"/>
                <w:sz w:val="11"/>
                <w:szCs w:val="11"/>
                <w:lang w:eastAsia="de-DE"/>
              </w:rPr>
            </w:pPr>
          </w:p>
        </w:tc>
        <w:tc>
          <w:tcPr>
            <w:tcW w:w="992"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2D319E">
            <w:pPr>
              <w:spacing w:after="0" w:line="240" w:lineRule="auto"/>
              <w:jc w:val="right"/>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E5B8B7" w:themeFill="accent2" w:themeFillTint="66"/>
            <w:noWrap/>
            <w:vAlign w:val="center"/>
          </w:tcPr>
          <w:p w:rsidR="00E14B01" w:rsidRPr="00E14B01" w:rsidRDefault="00E14B01" w:rsidP="002D319E">
            <w:pPr>
              <w:spacing w:after="0" w:line="240" w:lineRule="auto"/>
              <w:jc w:val="right"/>
              <w:rPr>
                <w:rFonts w:eastAsia="Times New Roman" w:cs="Arial"/>
                <w:b/>
                <w:bCs/>
                <w:color w:val="000000"/>
                <w:sz w:val="12"/>
                <w:szCs w:val="13"/>
                <w:lang w:eastAsia="de-DE"/>
              </w:rPr>
            </w:pPr>
          </w:p>
        </w:tc>
        <w:tc>
          <w:tcPr>
            <w:tcW w:w="993" w:type="dxa"/>
            <w:tcBorders>
              <w:top w:val="single" w:sz="4" w:space="0" w:color="808080"/>
              <w:left w:val="nil"/>
              <w:bottom w:val="single" w:sz="4" w:space="0" w:color="808080"/>
              <w:right w:val="single" w:sz="4" w:space="0" w:color="808080"/>
            </w:tcBorders>
            <w:shd w:val="clear" w:color="auto" w:fill="D6E3BC" w:themeFill="accent3" w:themeFillTint="66"/>
            <w:noWrap/>
            <w:vAlign w:val="center"/>
          </w:tcPr>
          <w:p w:rsidR="00E14B01" w:rsidRPr="00E14B01" w:rsidRDefault="00E14B01" w:rsidP="000D0934">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000000" w:fill="D8E4BC"/>
            <w:vAlign w:val="bottom"/>
          </w:tcPr>
          <w:p w:rsidR="00E14B01" w:rsidRPr="00E14B01" w:rsidRDefault="00E14B01" w:rsidP="00E14B01">
            <w:pPr>
              <w:spacing w:after="0" w:line="240" w:lineRule="auto"/>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1134"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1134"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12039C">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12039C">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0" w:type="dxa"/>
            <w:tcBorders>
              <w:top w:val="nil"/>
              <w:left w:val="nil"/>
              <w:bottom w:val="single" w:sz="4" w:space="0" w:color="808080"/>
              <w:right w:val="single" w:sz="4" w:space="0" w:color="808080"/>
            </w:tcBorders>
            <w:shd w:val="clear" w:color="000000" w:fill="D8E4BC"/>
            <w:noWrap/>
            <w:vAlign w:val="center"/>
          </w:tcPr>
          <w:p w:rsidR="00E14B01" w:rsidRPr="0012039C" w:rsidRDefault="00E14B01" w:rsidP="00E14B01">
            <w:pPr>
              <w:spacing w:after="0" w:line="240" w:lineRule="auto"/>
              <w:jc w:val="right"/>
              <w:rPr>
                <w:rFonts w:eastAsia="Times New Roman" w:cs="Arial"/>
                <w:b/>
                <w:bCs/>
                <w:color w:val="000000"/>
                <w:sz w:val="12"/>
                <w:szCs w:val="12"/>
                <w:lang w:eastAsia="de-DE"/>
              </w:rPr>
            </w:pPr>
          </w:p>
        </w:tc>
        <w:tc>
          <w:tcPr>
            <w:tcW w:w="851"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12039C">
            <w:pPr>
              <w:spacing w:after="0" w:line="240" w:lineRule="auto"/>
              <w:jc w:val="right"/>
              <w:rPr>
                <w:rFonts w:eastAsia="Times New Roman" w:cs="Arial"/>
                <w:b/>
                <w:bCs/>
                <w:color w:val="000000"/>
                <w:sz w:val="12"/>
                <w:szCs w:val="13"/>
                <w:lang w:eastAsia="de-DE"/>
              </w:rPr>
            </w:pPr>
          </w:p>
        </w:tc>
        <w:tc>
          <w:tcPr>
            <w:tcW w:w="850"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12039C">
            <w:pPr>
              <w:spacing w:after="0" w:line="240" w:lineRule="auto"/>
              <w:jc w:val="right"/>
              <w:rPr>
                <w:rFonts w:eastAsia="Times New Roman" w:cs="Arial"/>
                <w:b/>
                <w:bCs/>
                <w:color w:val="000000"/>
                <w:sz w:val="12"/>
                <w:szCs w:val="13"/>
                <w:lang w:eastAsia="de-DE"/>
              </w:rPr>
            </w:pPr>
          </w:p>
        </w:tc>
        <w:tc>
          <w:tcPr>
            <w:tcW w:w="851"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12039C">
            <w:pPr>
              <w:spacing w:after="0" w:line="240" w:lineRule="auto"/>
              <w:jc w:val="right"/>
              <w:rPr>
                <w:rFonts w:eastAsia="Times New Roman" w:cs="Arial"/>
                <w:b/>
                <w:bCs/>
                <w:color w:val="000000"/>
                <w:sz w:val="12"/>
                <w:szCs w:val="13"/>
                <w:lang w:eastAsia="de-DE"/>
              </w:rPr>
            </w:pPr>
          </w:p>
        </w:tc>
        <w:tc>
          <w:tcPr>
            <w:tcW w:w="992" w:type="dxa"/>
            <w:tcBorders>
              <w:top w:val="single" w:sz="4" w:space="0" w:color="808080"/>
              <w:left w:val="nil"/>
              <w:bottom w:val="single" w:sz="4" w:space="0" w:color="808080"/>
              <w:right w:val="single" w:sz="4" w:space="0" w:color="808080"/>
            </w:tcBorders>
            <w:shd w:val="clear" w:color="auto" w:fill="E5B8B7" w:themeFill="accent2" w:themeFillTint="66"/>
            <w:noWrap/>
            <w:vAlign w:val="center"/>
          </w:tcPr>
          <w:p w:rsidR="00E14B01" w:rsidRPr="00E14B01" w:rsidRDefault="00E14B01" w:rsidP="0012039C">
            <w:pPr>
              <w:spacing w:after="0" w:line="240" w:lineRule="auto"/>
              <w:jc w:val="right"/>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6019" w:type="dxa"/>
            <w:gridSpan w:val="16"/>
            <w:tcBorders>
              <w:top w:val="single" w:sz="4" w:space="0" w:color="808080"/>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b/>
                <w:bCs/>
                <w:color w:val="000000"/>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0D1465">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9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450"/>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000000" w:fill="D8E4BC"/>
            <w:vAlign w:val="bottom"/>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1134"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1134"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0"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1"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0"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1"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E6B8B7"/>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0D1465">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6019" w:type="dxa"/>
            <w:gridSpan w:val="16"/>
            <w:tcBorders>
              <w:top w:val="single" w:sz="4" w:space="0" w:color="808080"/>
              <w:left w:val="single" w:sz="4" w:space="0" w:color="808080"/>
              <w:bottom w:val="single" w:sz="4" w:space="0" w:color="808080"/>
              <w:right w:val="single" w:sz="4" w:space="0" w:color="808080"/>
            </w:tcBorders>
            <w:shd w:val="clear" w:color="auto" w:fill="auto"/>
            <w:vAlign w:val="bottom"/>
          </w:tcPr>
          <w:p w:rsidR="00E14B01" w:rsidRPr="00F26878" w:rsidRDefault="00F26878" w:rsidP="00E14B01">
            <w:pPr>
              <w:spacing w:after="0" w:line="240" w:lineRule="auto"/>
              <w:rPr>
                <w:rFonts w:eastAsia="Times New Roman" w:cs="Arial"/>
                <w:b/>
                <w:bCs/>
                <w:color w:val="000000"/>
                <w:sz w:val="22"/>
                <w:lang w:eastAsia="de-DE"/>
              </w:rPr>
            </w:pPr>
            <w:r w:rsidRPr="00F26878">
              <w:rPr>
                <w:rFonts w:eastAsia="Times New Roman" w:cs="Arial"/>
                <w:b/>
                <w:bCs/>
                <w:color w:val="FF0000"/>
                <w:sz w:val="22"/>
                <w:lang w:eastAsia="de-DE"/>
              </w:rPr>
              <w:t>Die Zahlen 2016 sind von einzelnen Landkreisen nicht für die Veröffentlichung freigegeben worden und werden daher nur im Ausschuss präsentiert.</w:t>
            </w: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B27C6A">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369"/>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0D0934">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329"/>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0D0934">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675"/>
        </w:trPr>
        <w:tc>
          <w:tcPr>
            <w:tcW w:w="1418" w:type="dxa"/>
            <w:tcBorders>
              <w:top w:val="nil"/>
              <w:left w:val="single" w:sz="4" w:space="0" w:color="808080"/>
              <w:bottom w:val="single" w:sz="4" w:space="0" w:color="808080"/>
              <w:right w:val="single" w:sz="4" w:space="0" w:color="808080"/>
            </w:tcBorders>
            <w:shd w:val="clear" w:color="auto" w:fill="auto"/>
            <w:vAlign w:val="center"/>
          </w:tcPr>
          <w:p w:rsidR="00E14B01" w:rsidRPr="00E14B01" w:rsidRDefault="00E14B01" w:rsidP="00E14B01">
            <w:pPr>
              <w:spacing w:after="0" w:line="240" w:lineRule="auto"/>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000000" w:fill="D8E4BC"/>
            <w:vAlign w:val="bottom"/>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1134"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1134"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0"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1"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0"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851"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E6B8B7"/>
            <w:noWrap/>
            <w:vAlign w:val="center"/>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173"/>
        </w:trPr>
        <w:tc>
          <w:tcPr>
            <w:tcW w:w="16019" w:type="dxa"/>
            <w:gridSpan w:val="16"/>
            <w:tcBorders>
              <w:top w:val="single" w:sz="4" w:space="0" w:color="808080"/>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b/>
                <w:bCs/>
                <w:color w:val="000000"/>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vMerge w:val="restart"/>
            <w:tcBorders>
              <w:top w:val="nil"/>
              <w:left w:val="single" w:sz="4" w:space="0" w:color="808080"/>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val="restart"/>
            <w:tcBorders>
              <w:top w:val="nil"/>
              <w:left w:val="single" w:sz="4" w:space="0" w:color="808080"/>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vMerge w:val="restart"/>
            <w:tcBorders>
              <w:top w:val="nil"/>
              <w:left w:val="single" w:sz="4" w:space="0" w:color="808080"/>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val="restart"/>
            <w:tcBorders>
              <w:top w:val="nil"/>
              <w:left w:val="single" w:sz="4" w:space="0" w:color="808080"/>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val="restart"/>
            <w:tcBorders>
              <w:top w:val="nil"/>
              <w:left w:val="single" w:sz="4" w:space="0" w:color="808080"/>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vMerge w:val="restart"/>
            <w:tcBorders>
              <w:top w:val="nil"/>
              <w:left w:val="single" w:sz="4" w:space="0" w:color="808080"/>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vMerge w:val="restart"/>
            <w:tcBorders>
              <w:top w:val="nil"/>
              <w:left w:val="single" w:sz="4" w:space="0" w:color="808080"/>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1134"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0"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851" w:type="dxa"/>
            <w:vMerge/>
            <w:tcBorders>
              <w:top w:val="nil"/>
              <w:left w:val="single" w:sz="4" w:space="0" w:color="808080"/>
              <w:bottom w:val="single" w:sz="4" w:space="0" w:color="808080"/>
              <w:right w:val="single" w:sz="4" w:space="0" w:color="808080"/>
            </w:tcBorders>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000000" w:fill="D8E4BC"/>
            <w:vAlign w:val="bottom"/>
          </w:tcPr>
          <w:p w:rsidR="00E14B01" w:rsidRPr="00E14B01" w:rsidRDefault="00E14B01" w:rsidP="00E14B01">
            <w:pPr>
              <w:spacing w:after="0" w:line="240" w:lineRule="auto"/>
              <w:jc w:val="right"/>
              <w:rPr>
                <w:rFonts w:eastAsia="Times New Roman" w:cs="Arial"/>
                <w:b/>
                <w:bCs/>
                <w:color w:val="000000"/>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1134"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1134"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850"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851"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850"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851"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E6B8B7"/>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3" w:type="dxa"/>
            <w:tcBorders>
              <w:top w:val="nil"/>
              <w:left w:val="nil"/>
              <w:bottom w:val="single" w:sz="4" w:space="0" w:color="808080"/>
              <w:right w:val="single" w:sz="4" w:space="0" w:color="808080"/>
            </w:tcBorders>
            <w:shd w:val="clear" w:color="000000" w:fill="D8E4BC"/>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000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373"/>
        </w:trPr>
        <w:tc>
          <w:tcPr>
            <w:tcW w:w="1418" w:type="dxa"/>
            <w:tcBorders>
              <w:top w:val="nil"/>
              <w:left w:val="single" w:sz="4" w:space="0" w:color="808080"/>
              <w:bottom w:val="single" w:sz="4" w:space="0" w:color="808080"/>
              <w:right w:val="single" w:sz="4" w:space="0" w:color="808080"/>
            </w:tcBorders>
            <w:shd w:val="clear" w:color="000000" w:fill="C4D79B"/>
            <w:vAlign w:val="bottom"/>
          </w:tcPr>
          <w:p w:rsidR="00E14B01" w:rsidRPr="00E14B01" w:rsidRDefault="00E14B01" w:rsidP="00E14B01">
            <w:pPr>
              <w:spacing w:after="0" w:line="240" w:lineRule="auto"/>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1134"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1134"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2"/>
                <w:szCs w:val="13"/>
                <w:lang w:eastAsia="de-DE"/>
              </w:rPr>
            </w:pPr>
          </w:p>
        </w:tc>
        <w:tc>
          <w:tcPr>
            <w:tcW w:w="993"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2"/>
                <w:szCs w:val="13"/>
                <w:lang w:eastAsia="de-DE"/>
              </w:rPr>
            </w:pPr>
          </w:p>
        </w:tc>
        <w:tc>
          <w:tcPr>
            <w:tcW w:w="850"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1"/>
                <w:szCs w:val="11"/>
                <w:lang w:eastAsia="de-DE"/>
              </w:rPr>
            </w:pPr>
          </w:p>
        </w:tc>
        <w:tc>
          <w:tcPr>
            <w:tcW w:w="851"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1"/>
                <w:szCs w:val="11"/>
                <w:lang w:eastAsia="de-DE"/>
              </w:rPr>
            </w:pPr>
          </w:p>
        </w:tc>
        <w:tc>
          <w:tcPr>
            <w:tcW w:w="850"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1"/>
                <w:szCs w:val="11"/>
                <w:lang w:eastAsia="de-DE"/>
              </w:rPr>
            </w:pPr>
          </w:p>
        </w:tc>
        <w:tc>
          <w:tcPr>
            <w:tcW w:w="851"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1"/>
                <w:szCs w:val="11"/>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1"/>
                <w:szCs w:val="11"/>
                <w:lang w:eastAsia="de-DE"/>
              </w:rPr>
            </w:pPr>
          </w:p>
        </w:tc>
        <w:tc>
          <w:tcPr>
            <w:tcW w:w="992" w:type="dxa"/>
            <w:tcBorders>
              <w:top w:val="nil"/>
              <w:left w:val="nil"/>
              <w:bottom w:val="single" w:sz="4" w:space="0" w:color="808080"/>
              <w:right w:val="single" w:sz="4" w:space="0" w:color="808080"/>
            </w:tcBorders>
            <w:shd w:val="clear" w:color="000000" w:fill="E6B8B7"/>
            <w:noWrap/>
            <w:vAlign w:val="center"/>
          </w:tcPr>
          <w:p w:rsidR="00E14B01" w:rsidRPr="00E14B01" w:rsidRDefault="00E14B01" w:rsidP="0012039C">
            <w:pPr>
              <w:spacing w:after="0" w:line="240" w:lineRule="auto"/>
              <w:jc w:val="right"/>
              <w:rPr>
                <w:rFonts w:eastAsia="Times New Roman" w:cs="Arial"/>
                <w:b/>
                <w:bCs/>
                <w:sz w:val="12"/>
                <w:szCs w:val="13"/>
                <w:lang w:eastAsia="de-DE"/>
              </w:rPr>
            </w:pPr>
          </w:p>
        </w:tc>
        <w:tc>
          <w:tcPr>
            <w:tcW w:w="993"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407"/>
        </w:trPr>
        <w:tc>
          <w:tcPr>
            <w:tcW w:w="1418" w:type="dxa"/>
            <w:tcBorders>
              <w:top w:val="nil"/>
              <w:left w:val="single" w:sz="4" w:space="0" w:color="808080"/>
              <w:bottom w:val="single" w:sz="4" w:space="0" w:color="808080"/>
              <w:right w:val="single" w:sz="4" w:space="0" w:color="808080"/>
            </w:tcBorders>
            <w:shd w:val="clear" w:color="000000" w:fill="C4D79B"/>
            <w:vAlign w:val="bottom"/>
          </w:tcPr>
          <w:p w:rsidR="00E14B01" w:rsidRPr="00E14B01" w:rsidRDefault="00E14B01" w:rsidP="00E14B01">
            <w:pPr>
              <w:spacing w:after="0" w:line="240" w:lineRule="auto"/>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2"/>
                <w:szCs w:val="13"/>
                <w:lang w:eastAsia="de-DE"/>
              </w:rPr>
            </w:pPr>
          </w:p>
        </w:tc>
        <w:tc>
          <w:tcPr>
            <w:tcW w:w="1134"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12039C">
            <w:pPr>
              <w:spacing w:after="0" w:line="240" w:lineRule="auto"/>
              <w:jc w:val="right"/>
              <w:rPr>
                <w:rFonts w:eastAsia="Times New Roman" w:cs="Arial"/>
                <w:b/>
                <w:bCs/>
                <w:sz w:val="12"/>
                <w:szCs w:val="13"/>
                <w:lang w:eastAsia="de-DE"/>
              </w:rPr>
            </w:pPr>
          </w:p>
        </w:tc>
        <w:tc>
          <w:tcPr>
            <w:tcW w:w="1134"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D62785">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D62785">
            <w:pPr>
              <w:spacing w:after="0" w:line="240" w:lineRule="auto"/>
              <w:jc w:val="right"/>
              <w:rPr>
                <w:rFonts w:eastAsia="Times New Roman" w:cs="Arial"/>
                <w:b/>
                <w:bCs/>
                <w:sz w:val="12"/>
                <w:szCs w:val="13"/>
                <w:lang w:eastAsia="de-DE"/>
              </w:rPr>
            </w:pPr>
          </w:p>
        </w:tc>
        <w:tc>
          <w:tcPr>
            <w:tcW w:w="993"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D62785">
            <w:pPr>
              <w:spacing w:after="0" w:line="240" w:lineRule="auto"/>
              <w:jc w:val="right"/>
              <w:rPr>
                <w:rFonts w:eastAsia="Times New Roman" w:cs="Arial"/>
                <w:b/>
                <w:bCs/>
                <w:sz w:val="12"/>
                <w:szCs w:val="13"/>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D62785">
            <w:pPr>
              <w:spacing w:after="0" w:line="240" w:lineRule="auto"/>
              <w:jc w:val="right"/>
              <w:rPr>
                <w:rFonts w:eastAsia="Times New Roman" w:cs="Arial"/>
                <w:b/>
                <w:bCs/>
                <w:sz w:val="12"/>
                <w:szCs w:val="13"/>
                <w:lang w:eastAsia="de-DE"/>
              </w:rPr>
            </w:pPr>
          </w:p>
        </w:tc>
        <w:tc>
          <w:tcPr>
            <w:tcW w:w="850"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1"/>
                <w:szCs w:val="11"/>
                <w:lang w:eastAsia="de-DE"/>
              </w:rPr>
            </w:pPr>
          </w:p>
        </w:tc>
        <w:tc>
          <w:tcPr>
            <w:tcW w:w="851"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1"/>
                <w:szCs w:val="11"/>
                <w:lang w:eastAsia="de-DE"/>
              </w:rPr>
            </w:pPr>
          </w:p>
        </w:tc>
        <w:tc>
          <w:tcPr>
            <w:tcW w:w="850"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E14B01">
            <w:pPr>
              <w:spacing w:after="0" w:line="240" w:lineRule="auto"/>
              <w:jc w:val="right"/>
              <w:rPr>
                <w:rFonts w:eastAsia="Times New Roman" w:cs="Arial"/>
                <w:b/>
                <w:bCs/>
                <w:sz w:val="11"/>
                <w:szCs w:val="11"/>
                <w:lang w:eastAsia="de-DE"/>
              </w:rPr>
            </w:pPr>
          </w:p>
        </w:tc>
        <w:tc>
          <w:tcPr>
            <w:tcW w:w="851"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D62785">
            <w:pPr>
              <w:spacing w:after="0" w:line="240" w:lineRule="auto"/>
              <w:jc w:val="right"/>
              <w:rPr>
                <w:rFonts w:eastAsia="Times New Roman" w:cs="Arial"/>
                <w:b/>
                <w:bCs/>
                <w:sz w:val="11"/>
                <w:szCs w:val="11"/>
                <w:lang w:eastAsia="de-DE"/>
              </w:rPr>
            </w:pPr>
          </w:p>
        </w:tc>
        <w:tc>
          <w:tcPr>
            <w:tcW w:w="992" w:type="dxa"/>
            <w:tcBorders>
              <w:top w:val="nil"/>
              <w:left w:val="nil"/>
              <w:bottom w:val="single" w:sz="4" w:space="0" w:color="808080"/>
              <w:right w:val="single" w:sz="4" w:space="0" w:color="808080"/>
            </w:tcBorders>
            <w:shd w:val="clear" w:color="000000" w:fill="C4D79B"/>
            <w:noWrap/>
            <w:vAlign w:val="center"/>
          </w:tcPr>
          <w:p w:rsidR="00E14B01" w:rsidRPr="00D62785" w:rsidRDefault="00E14B01" w:rsidP="00E14B01">
            <w:pPr>
              <w:spacing w:after="0" w:line="240" w:lineRule="auto"/>
              <w:jc w:val="right"/>
              <w:rPr>
                <w:rFonts w:eastAsia="Times New Roman" w:cs="Arial"/>
                <w:b/>
                <w:bCs/>
                <w:sz w:val="11"/>
                <w:szCs w:val="11"/>
                <w:lang w:eastAsia="de-DE"/>
              </w:rPr>
            </w:pPr>
          </w:p>
        </w:tc>
        <w:tc>
          <w:tcPr>
            <w:tcW w:w="992" w:type="dxa"/>
            <w:tcBorders>
              <w:top w:val="nil"/>
              <w:left w:val="nil"/>
              <w:bottom w:val="single" w:sz="4" w:space="0" w:color="808080"/>
              <w:right w:val="single" w:sz="4" w:space="0" w:color="808080"/>
            </w:tcBorders>
            <w:shd w:val="clear" w:color="000000" w:fill="E6B8B7"/>
            <w:noWrap/>
            <w:vAlign w:val="center"/>
          </w:tcPr>
          <w:p w:rsidR="00E14B01" w:rsidRPr="00E14B01" w:rsidRDefault="00E14B01" w:rsidP="00D62785">
            <w:pPr>
              <w:spacing w:after="0" w:line="240" w:lineRule="auto"/>
              <w:jc w:val="right"/>
              <w:rPr>
                <w:rFonts w:eastAsia="Times New Roman" w:cs="Arial"/>
                <w:b/>
                <w:bCs/>
                <w:sz w:val="12"/>
                <w:szCs w:val="13"/>
                <w:lang w:eastAsia="de-DE"/>
              </w:rPr>
            </w:pPr>
          </w:p>
        </w:tc>
        <w:tc>
          <w:tcPr>
            <w:tcW w:w="993" w:type="dxa"/>
            <w:tcBorders>
              <w:top w:val="nil"/>
              <w:left w:val="nil"/>
              <w:bottom w:val="single" w:sz="4" w:space="0" w:color="808080"/>
              <w:right w:val="single" w:sz="4" w:space="0" w:color="808080"/>
            </w:tcBorders>
            <w:shd w:val="clear" w:color="000000" w:fill="C4D79B"/>
            <w:noWrap/>
            <w:vAlign w:val="center"/>
          </w:tcPr>
          <w:p w:rsidR="00E14B01" w:rsidRPr="00E14B01" w:rsidRDefault="00E14B01" w:rsidP="00D62785">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128"/>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D62785">
            <w:pPr>
              <w:spacing w:after="0" w:line="240" w:lineRule="auto"/>
              <w:jc w:val="right"/>
              <w:rPr>
                <w:rFonts w:eastAsia="Times New Roman" w:cs="Arial"/>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b/>
                <w:bCs/>
                <w:color w:val="A6A6A6" w:themeColor="background1" w:themeShade="A6"/>
                <w:sz w:val="12"/>
                <w:szCs w:val="13"/>
                <w:lang w:eastAsia="de-DE"/>
              </w:rPr>
            </w:pPr>
          </w:p>
        </w:tc>
      </w:tr>
      <w:tr w:rsidR="00E14B01" w:rsidRPr="00E14B01" w:rsidTr="00F26878">
        <w:trPr>
          <w:trHeight w:val="225"/>
        </w:trPr>
        <w:tc>
          <w:tcPr>
            <w:tcW w:w="1418" w:type="dxa"/>
            <w:tcBorders>
              <w:top w:val="nil"/>
              <w:left w:val="single" w:sz="4" w:space="0" w:color="808080"/>
              <w:bottom w:val="single" w:sz="4" w:space="0" w:color="808080"/>
              <w:right w:val="single" w:sz="4" w:space="0" w:color="808080"/>
            </w:tcBorders>
            <w:shd w:val="clear" w:color="auto" w:fill="auto"/>
            <w:vAlign w:val="bottom"/>
          </w:tcPr>
          <w:p w:rsidR="00E14B01" w:rsidRPr="00E14B01" w:rsidRDefault="00E14B01" w:rsidP="00E14B01">
            <w:pPr>
              <w:spacing w:after="0" w:line="240" w:lineRule="auto"/>
              <w:rPr>
                <w:rFonts w:eastAsia="Times New Roman" w:cs="Arial"/>
                <w:color w:val="0070C0"/>
                <w:sz w:val="11"/>
                <w:szCs w:val="11"/>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1134"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color w:val="0070C0"/>
                <w:sz w:val="12"/>
                <w:szCs w:val="13"/>
                <w:lang w:eastAsia="de-DE"/>
              </w:rPr>
            </w:pPr>
          </w:p>
        </w:tc>
        <w:tc>
          <w:tcPr>
            <w:tcW w:w="850"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D62785">
            <w:pPr>
              <w:spacing w:after="0" w:line="240" w:lineRule="auto"/>
              <w:jc w:val="right"/>
              <w:rPr>
                <w:rFonts w:eastAsia="Times New Roman" w:cs="Arial"/>
                <w:color w:val="0070C0"/>
                <w:sz w:val="12"/>
                <w:szCs w:val="13"/>
                <w:lang w:eastAsia="de-DE"/>
              </w:rPr>
            </w:pPr>
          </w:p>
        </w:tc>
        <w:tc>
          <w:tcPr>
            <w:tcW w:w="851"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992"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color w:val="0070C0"/>
                <w:sz w:val="12"/>
                <w:szCs w:val="13"/>
                <w:lang w:eastAsia="de-DE"/>
              </w:rPr>
            </w:pPr>
          </w:p>
        </w:tc>
        <w:tc>
          <w:tcPr>
            <w:tcW w:w="992" w:type="dxa"/>
            <w:tcBorders>
              <w:top w:val="nil"/>
              <w:left w:val="nil"/>
              <w:bottom w:val="single" w:sz="4" w:space="0" w:color="808080"/>
              <w:right w:val="single" w:sz="4" w:space="0" w:color="808080"/>
            </w:tcBorders>
            <w:shd w:val="clear" w:color="000000" w:fill="F2DCDB"/>
            <w:noWrap/>
            <w:vAlign w:val="center"/>
          </w:tcPr>
          <w:p w:rsidR="00E14B01" w:rsidRPr="00E14B01" w:rsidRDefault="00E14B01" w:rsidP="00D62785">
            <w:pPr>
              <w:spacing w:after="0" w:line="240" w:lineRule="auto"/>
              <w:jc w:val="right"/>
              <w:rPr>
                <w:rFonts w:eastAsia="Times New Roman" w:cs="Arial"/>
                <w:color w:val="0070C0"/>
                <w:sz w:val="12"/>
                <w:szCs w:val="13"/>
                <w:lang w:eastAsia="de-DE"/>
              </w:rPr>
            </w:pPr>
          </w:p>
        </w:tc>
        <w:tc>
          <w:tcPr>
            <w:tcW w:w="993" w:type="dxa"/>
            <w:tcBorders>
              <w:top w:val="nil"/>
              <w:left w:val="nil"/>
              <w:bottom w:val="single" w:sz="4" w:space="0" w:color="808080"/>
              <w:right w:val="single" w:sz="4" w:space="0" w:color="808080"/>
            </w:tcBorders>
            <w:shd w:val="clear" w:color="auto" w:fill="auto"/>
            <w:noWrap/>
            <w:vAlign w:val="center"/>
          </w:tcPr>
          <w:p w:rsidR="00E14B01" w:rsidRPr="00E14B01" w:rsidRDefault="00E14B01" w:rsidP="00E14B01">
            <w:pPr>
              <w:spacing w:after="0" w:line="240" w:lineRule="auto"/>
              <w:jc w:val="right"/>
              <w:rPr>
                <w:rFonts w:eastAsia="Times New Roman" w:cs="Arial"/>
                <w:b/>
                <w:bCs/>
                <w:sz w:val="12"/>
                <w:szCs w:val="13"/>
                <w:lang w:eastAsia="de-DE"/>
              </w:rPr>
            </w:pPr>
          </w:p>
        </w:tc>
      </w:tr>
    </w:tbl>
    <w:p w:rsidR="00E14B01" w:rsidRPr="00F74BC8" w:rsidRDefault="00E14B01" w:rsidP="009439AB">
      <w:pPr>
        <w:jc w:val="both"/>
        <w:rPr>
          <w:color w:val="00B0F0"/>
          <w:sz w:val="24"/>
          <w:szCs w:val="24"/>
        </w:rPr>
        <w:sectPr w:rsidR="00E14B01" w:rsidRPr="00F74BC8" w:rsidSect="00E14B01">
          <w:pgSz w:w="16838" w:h="11906" w:orient="landscape"/>
          <w:pgMar w:top="284" w:right="1418" w:bottom="568" w:left="1134" w:header="284" w:footer="200" w:gutter="0"/>
          <w:cols w:space="708"/>
          <w:docGrid w:linePitch="360"/>
        </w:sectPr>
      </w:pPr>
    </w:p>
    <w:p w:rsidR="009439AB" w:rsidRPr="00C37B8D" w:rsidRDefault="009439AB" w:rsidP="009439AB">
      <w:pPr>
        <w:jc w:val="both"/>
        <w:rPr>
          <w:sz w:val="24"/>
          <w:szCs w:val="24"/>
        </w:rPr>
      </w:pPr>
      <w:r w:rsidRPr="00C37B8D">
        <w:rPr>
          <w:sz w:val="24"/>
          <w:szCs w:val="24"/>
        </w:rPr>
        <w:t>Gemäß § 2 Abs. 2 Satz 1 AufnG LSA erhalten die Landkreise und kreisfreien Städte für zugewiesene Personen nach § 1 Abs. 1 Satz 1 Nr. 5-8 AufnG LSA, die Leistungen nach dem Asylbewerberleistungsgesetz (AsylbLG) beziehen, eine vierteljährliche Abschlagszahlung in Form einer Pauschale</w:t>
      </w:r>
      <w:r w:rsidR="00950598" w:rsidRPr="00C37B8D">
        <w:rPr>
          <w:sz w:val="24"/>
          <w:szCs w:val="24"/>
        </w:rPr>
        <w:t>.</w:t>
      </w:r>
    </w:p>
    <w:p w:rsidR="005D34AE" w:rsidRPr="005D34AE" w:rsidRDefault="005D34AE" w:rsidP="005D34AE">
      <w:pPr>
        <w:jc w:val="both"/>
        <w:rPr>
          <w:sz w:val="24"/>
          <w:szCs w:val="24"/>
        </w:rPr>
      </w:pPr>
      <w:r w:rsidRPr="005D34AE">
        <w:rPr>
          <w:sz w:val="24"/>
          <w:szCs w:val="24"/>
        </w:rPr>
        <w:t xml:space="preserve">Analog der Verfahrensweise zum Vorjahr, erfolgte Anfang 2017 gemäß § 2 Abs. 2 Satz 3 AufnG LSA die Aufforderung, alle angefallenen Kosten des Jahres 2016 zur Überprüfung der Fallpauschale, zu melden. Diese Meldungen erfolgten dementsprechend durch alle Kommunen, </w:t>
      </w:r>
      <w:r>
        <w:rPr>
          <w:sz w:val="24"/>
          <w:szCs w:val="24"/>
        </w:rPr>
        <w:t xml:space="preserve">jedoch </w:t>
      </w:r>
      <w:r w:rsidRPr="005D34AE">
        <w:rPr>
          <w:sz w:val="24"/>
          <w:szCs w:val="24"/>
        </w:rPr>
        <w:t xml:space="preserve">wurde bisher durch das </w:t>
      </w:r>
      <w:r>
        <w:rPr>
          <w:sz w:val="24"/>
          <w:szCs w:val="24"/>
        </w:rPr>
        <w:t>Land</w:t>
      </w:r>
      <w:r w:rsidRPr="005D34AE">
        <w:rPr>
          <w:sz w:val="24"/>
          <w:szCs w:val="24"/>
        </w:rPr>
        <w:t xml:space="preserve"> noch kein neuer Pauschalbetrag festgelegt. (Pauschalbeträge: 2015 = 8.60</w:t>
      </w:r>
      <w:r w:rsidR="00135210">
        <w:rPr>
          <w:sz w:val="24"/>
          <w:szCs w:val="24"/>
        </w:rPr>
        <w:t>0 Euro</w:t>
      </w:r>
      <w:r w:rsidRPr="005D34AE">
        <w:rPr>
          <w:sz w:val="24"/>
          <w:szCs w:val="24"/>
        </w:rPr>
        <w:t xml:space="preserve">; 2016 = 10.470 </w:t>
      </w:r>
      <w:r w:rsidR="00135210">
        <w:rPr>
          <w:sz w:val="24"/>
          <w:szCs w:val="24"/>
        </w:rPr>
        <w:t>Euro</w:t>
      </w:r>
      <w:r w:rsidRPr="005D34AE">
        <w:rPr>
          <w:sz w:val="24"/>
          <w:szCs w:val="24"/>
        </w:rPr>
        <w:t xml:space="preserve"> und 2017 voraussichtlich 10.800 </w:t>
      </w:r>
      <w:r w:rsidR="00135210">
        <w:rPr>
          <w:sz w:val="24"/>
          <w:szCs w:val="24"/>
        </w:rPr>
        <w:t>Euro</w:t>
      </w:r>
      <w:r w:rsidRPr="005D34AE">
        <w:rPr>
          <w:sz w:val="24"/>
          <w:szCs w:val="24"/>
        </w:rPr>
        <w:t xml:space="preserve"> oder 11.000 </w:t>
      </w:r>
      <w:r w:rsidR="00135210">
        <w:rPr>
          <w:sz w:val="24"/>
          <w:szCs w:val="24"/>
        </w:rPr>
        <w:t>Euro</w:t>
      </w:r>
      <w:r w:rsidRPr="005D34AE">
        <w:rPr>
          <w:sz w:val="24"/>
          <w:szCs w:val="24"/>
        </w:rPr>
        <w:t xml:space="preserve">)  </w:t>
      </w:r>
    </w:p>
    <w:p w:rsidR="005D34AE" w:rsidRPr="005D34AE" w:rsidRDefault="005D34AE" w:rsidP="005D34AE">
      <w:pPr>
        <w:jc w:val="both"/>
        <w:rPr>
          <w:sz w:val="24"/>
          <w:szCs w:val="24"/>
        </w:rPr>
      </w:pPr>
      <w:r w:rsidRPr="005D34AE">
        <w:rPr>
          <w:sz w:val="24"/>
          <w:szCs w:val="24"/>
        </w:rPr>
        <w:t>Die letztendlich im Rahmen der Kostenerstattung gemeldeten Erträge und Aufwendungen des Landkreises Wittenberg für das Jahr 2016 wurden bei der Berechnung berücksichtigt. Die Erstattung erfolgte bislang nur auf Basis von Abschlägen der für das Quartal jeweils gemeldet Leistungsbezieher. Laut der Berechnungen vom Land ist jedoch davon auszugehen, dass für 2016 wiederum eine Spitzabrechnung erfolgen wird und somit alle gemeldeten Aufwendungen / Kosten dem Landkreis erstattet werden.</w:t>
      </w:r>
    </w:p>
    <w:p w:rsidR="00743B7E" w:rsidRPr="00C37B8D" w:rsidRDefault="00743B7E" w:rsidP="00743B7E">
      <w:pPr>
        <w:jc w:val="both"/>
        <w:rPr>
          <w:sz w:val="24"/>
          <w:szCs w:val="24"/>
        </w:rPr>
      </w:pPr>
      <w:r w:rsidRPr="00C37B8D">
        <w:rPr>
          <w:sz w:val="24"/>
          <w:szCs w:val="24"/>
        </w:rPr>
        <w:t>Unter Berücksichtigung aller in der Umfrage aufgeführten Aufwendungen/Kosten (Gesamtkosten) des Jahres 201</w:t>
      </w:r>
      <w:r w:rsidR="00E62B25" w:rsidRPr="00C37B8D">
        <w:rPr>
          <w:sz w:val="24"/>
          <w:szCs w:val="24"/>
        </w:rPr>
        <w:t>6</w:t>
      </w:r>
      <w:r w:rsidRPr="00C37B8D">
        <w:rPr>
          <w:sz w:val="24"/>
          <w:szCs w:val="24"/>
        </w:rPr>
        <w:t xml:space="preserve"> wurde ein durchschnittlicher Tagessatz für das Land i.H.v. </w:t>
      </w:r>
      <w:r w:rsidR="002C4621">
        <w:rPr>
          <w:sz w:val="24"/>
          <w:szCs w:val="24"/>
        </w:rPr>
        <w:t>30,35</w:t>
      </w:r>
      <w:r w:rsidRPr="00C37B8D">
        <w:rPr>
          <w:sz w:val="24"/>
          <w:szCs w:val="24"/>
        </w:rPr>
        <w:t xml:space="preserve"> </w:t>
      </w:r>
      <w:r w:rsidR="00135210">
        <w:rPr>
          <w:sz w:val="24"/>
          <w:szCs w:val="24"/>
        </w:rPr>
        <w:t>Euro</w:t>
      </w:r>
      <w:r w:rsidR="00E62B25" w:rsidRPr="00C37B8D">
        <w:rPr>
          <w:sz w:val="24"/>
          <w:szCs w:val="24"/>
        </w:rPr>
        <w:t xml:space="preserve"> ermittelt; für das Jahr 2015</w:t>
      </w:r>
      <w:r w:rsidRPr="00C37B8D">
        <w:rPr>
          <w:sz w:val="24"/>
          <w:szCs w:val="24"/>
        </w:rPr>
        <w:t xml:space="preserve"> lag dieser Durchschnitt bei </w:t>
      </w:r>
      <w:r w:rsidR="00E62B25" w:rsidRPr="00C37B8D">
        <w:rPr>
          <w:sz w:val="24"/>
          <w:szCs w:val="24"/>
        </w:rPr>
        <w:t>28,68</w:t>
      </w:r>
      <w:r w:rsidR="00135210">
        <w:rPr>
          <w:sz w:val="24"/>
          <w:szCs w:val="24"/>
        </w:rPr>
        <w:t xml:space="preserve"> Euro</w:t>
      </w:r>
      <w:r w:rsidRPr="00C37B8D">
        <w:rPr>
          <w:sz w:val="24"/>
          <w:szCs w:val="24"/>
        </w:rPr>
        <w:t xml:space="preserve"> somit l</w:t>
      </w:r>
      <w:r w:rsidR="00FC36DE" w:rsidRPr="00C37B8D">
        <w:rPr>
          <w:sz w:val="24"/>
          <w:szCs w:val="24"/>
        </w:rPr>
        <w:t>iegt eine Kostensteigerung um 6</w:t>
      </w:r>
      <w:r w:rsidRPr="00C37B8D">
        <w:rPr>
          <w:sz w:val="24"/>
          <w:szCs w:val="24"/>
        </w:rPr>
        <w:t xml:space="preserve">% vor. </w:t>
      </w:r>
    </w:p>
    <w:p w:rsidR="00CD747E" w:rsidRPr="00C37B8D" w:rsidRDefault="00CD747E" w:rsidP="00CD747E">
      <w:pPr>
        <w:jc w:val="both"/>
        <w:rPr>
          <w:sz w:val="24"/>
          <w:szCs w:val="24"/>
        </w:rPr>
      </w:pPr>
      <w:r w:rsidRPr="00C37B8D">
        <w:rPr>
          <w:sz w:val="24"/>
          <w:szCs w:val="24"/>
        </w:rPr>
        <w:t xml:space="preserve">Der Landkreis Wittenberg liegt mit einem Tagessatz von </w:t>
      </w:r>
      <w:r w:rsidR="002C4621">
        <w:rPr>
          <w:sz w:val="24"/>
          <w:szCs w:val="24"/>
        </w:rPr>
        <w:t>34,04</w:t>
      </w:r>
      <w:r w:rsidR="004B4F3D">
        <w:rPr>
          <w:sz w:val="24"/>
          <w:szCs w:val="24"/>
        </w:rPr>
        <w:t xml:space="preserve"> Euro</w:t>
      </w:r>
      <w:r w:rsidRPr="00C37B8D">
        <w:rPr>
          <w:sz w:val="24"/>
          <w:szCs w:val="24"/>
        </w:rPr>
        <w:t xml:space="preserve">  über dem Landesdurchschnitt. Es gibt lediglich </w:t>
      </w:r>
      <w:r w:rsidR="00FC36DE" w:rsidRPr="00C37B8D">
        <w:rPr>
          <w:sz w:val="24"/>
          <w:szCs w:val="24"/>
        </w:rPr>
        <w:t>sechs</w:t>
      </w:r>
      <w:r w:rsidRPr="00C37B8D">
        <w:rPr>
          <w:sz w:val="24"/>
          <w:szCs w:val="24"/>
        </w:rPr>
        <w:t xml:space="preserve"> Landkreise die unter dem Durchschnitt des Landes liegen und weitere </w:t>
      </w:r>
      <w:r w:rsidR="00FC36DE" w:rsidRPr="00C37B8D">
        <w:rPr>
          <w:sz w:val="24"/>
          <w:szCs w:val="24"/>
        </w:rPr>
        <w:t>zwei</w:t>
      </w:r>
      <w:r w:rsidRPr="00C37B8D">
        <w:rPr>
          <w:sz w:val="24"/>
          <w:szCs w:val="24"/>
        </w:rPr>
        <w:t xml:space="preserve">, die über dem Durchschnitt des Landkreises Wittenberg liegen. Eine Analyse aus den Daten der Kostenerhebung, warum der Tagessatz deutlich über dem Landesdurchschnitt liegt, gestaltet sich aufgrund der vorhandenen Datenlage recht schwierig. </w:t>
      </w:r>
    </w:p>
    <w:p w:rsidR="00FC36DE" w:rsidRPr="00C37B8D" w:rsidRDefault="00FC36DE" w:rsidP="00CD747E">
      <w:pPr>
        <w:jc w:val="both"/>
        <w:rPr>
          <w:sz w:val="24"/>
          <w:szCs w:val="24"/>
        </w:rPr>
      </w:pPr>
      <w:r w:rsidRPr="00C37B8D">
        <w:rPr>
          <w:sz w:val="24"/>
          <w:szCs w:val="24"/>
        </w:rPr>
        <w:t>Um einen direkten Vergleich zu haben, müssten alle Landkreise und Kreisfreien Städte die gleichen Vorgehensweisen aufweisen. Offenkundig ist dies bei Betrachtung der Kostenerhebung für die Pauschale 2016 nicht der Fall. Die Landkreise Anhalt-Bitterfeld, Jerichower Land und die Stadt Magdeburg weisen keine Personalkosten für die Soziale Betreuung der untergebrachten Flüchtlinge aus.</w:t>
      </w:r>
      <w:r w:rsidR="00594151" w:rsidRPr="00C37B8D">
        <w:rPr>
          <w:sz w:val="24"/>
          <w:szCs w:val="24"/>
        </w:rPr>
        <w:t xml:space="preserve"> Dies legt die Schlussfolgerung nahe, dass die soziale Betreuung nicht durch Mitarbeiter der Kommune selbst erbracht wird, sondern durch Drittanbieter. Auf entsprechende Anfrage wurde dies bestätigt.</w:t>
      </w:r>
    </w:p>
    <w:p w:rsidR="00283111" w:rsidRPr="00C37B8D" w:rsidRDefault="00594151" w:rsidP="00CD747E">
      <w:pPr>
        <w:jc w:val="both"/>
        <w:rPr>
          <w:sz w:val="24"/>
          <w:szCs w:val="24"/>
        </w:rPr>
      </w:pPr>
      <w:r w:rsidRPr="00C37B8D">
        <w:rPr>
          <w:sz w:val="24"/>
          <w:szCs w:val="24"/>
        </w:rPr>
        <w:t>Ähnlich verhält es sich auch bezüglich der nicht ausgewiesenen Kosten für Wohnungsverwaltung und Hausmeister</w:t>
      </w:r>
      <w:r w:rsidR="00283111" w:rsidRPr="00C37B8D">
        <w:rPr>
          <w:sz w:val="24"/>
          <w:szCs w:val="24"/>
        </w:rPr>
        <w:t xml:space="preserve"> in einzelnen Landkreisen. Auf Anfrage wurde mitgeteilt, dass diese Bereiche ebenfalls an Drittanbieter vergeben worden sind bzw. durch andere Bereiche übernommen werden oder sogar im Rahmen von Arbeitsgelegenheiten oder über Integrationslotsen erfüllt werden.</w:t>
      </w:r>
    </w:p>
    <w:p w:rsidR="00283111" w:rsidRPr="00C37B8D" w:rsidRDefault="00283111" w:rsidP="001322FC">
      <w:pPr>
        <w:jc w:val="both"/>
        <w:rPr>
          <w:sz w:val="24"/>
          <w:szCs w:val="24"/>
        </w:rPr>
      </w:pPr>
      <w:r w:rsidRPr="00C37B8D">
        <w:rPr>
          <w:sz w:val="24"/>
          <w:szCs w:val="24"/>
        </w:rPr>
        <w:t>Hier stellt sich die Frage, ob alle anderen Aufnahmekommunen sämtliche angefallenen Kosten dem Land gemeldet haben. Im Altmarkkreis Salzwedel erfolgte die Unterbringung durch einen sogenannten Regiebetrieb des Landkreises</w:t>
      </w:r>
      <w:r w:rsidR="00744BC2" w:rsidRPr="00C37B8D">
        <w:rPr>
          <w:sz w:val="24"/>
          <w:szCs w:val="24"/>
        </w:rPr>
        <w:t xml:space="preserve">. Auch dafür fallen Personalkosten an, aber im Erhebungsbogen sind derartige Kosten nicht ausgewiesen. Im Landkreis Stendal werden die Wohnungen über einen Eigenbetrieb verwaltet. Die dadurch entstehenden Kosten werden diesem zugeschlagen und werden nicht wirksam bei der Ermittlung der Pauschale. Der Landkreis Wittenberg hat demgegenüber alle im Zusammenhang mit der Unterbringung und Betreuung von zugewiesenen Personen angefallenen Kosten dem Land gemeldet, auch anteilige Personalkosten anderer Fachdienste, z.B. dem Fachdienst </w:t>
      </w:r>
      <w:r w:rsidR="005D34AE">
        <w:rPr>
          <w:sz w:val="24"/>
          <w:szCs w:val="24"/>
        </w:rPr>
        <w:t>Jugend und Schule, Gesundheit, der Ausländerbehörde</w:t>
      </w:r>
      <w:r w:rsidR="00744BC2" w:rsidRPr="00C37B8D">
        <w:rPr>
          <w:sz w:val="24"/>
          <w:szCs w:val="24"/>
        </w:rPr>
        <w:t xml:space="preserve"> und der Koordinierungsstelle </w:t>
      </w:r>
      <w:r w:rsidR="00242C29" w:rsidRPr="00C37B8D">
        <w:rPr>
          <w:sz w:val="24"/>
          <w:szCs w:val="24"/>
        </w:rPr>
        <w:t>Mi</w:t>
      </w:r>
      <w:r w:rsidR="00744BC2" w:rsidRPr="00C37B8D">
        <w:rPr>
          <w:sz w:val="24"/>
          <w:szCs w:val="24"/>
        </w:rPr>
        <w:t>gration</w:t>
      </w:r>
      <w:r w:rsidRPr="00C37B8D">
        <w:rPr>
          <w:sz w:val="24"/>
          <w:szCs w:val="24"/>
        </w:rPr>
        <w:t xml:space="preserve">. </w:t>
      </w:r>
    </w:p>
    <w:p w:rsidR="00632D10" w:rsidRPr="00C37B8D" w:rsidRDefault="0009370A" w:rsidP="001322FC">
      <w:pPr>
        <w:jc w:val="both"/>
        <w:rPr>
          <w:sz w:val="24"/>
          <w:szCs w:val="24"/>
        </w:rPr>
      </w:pPr>
      <w:r w:rsidRPr="00C37B8D">
        <w:rPr>
          <w:sz w:val="24"/>
          <w:szCs w:val="24"/>
        </w:rPr>
        <w:t>Aber auch wenn einzelne Aufnahmekommunen bestimmte Aufgaben durch Dritte ausführen lassen, kann nicht pauschal daraus geschlussfolgert werden, dass diese Kommunen besonders niedrige Kosten ausweisen. Die Landkreise Börde, Jerichower Land, der Saalekreis, der Burgenlandkreis und die Landeshauptstadt Magdeburg liegen dennoch</w:t>
      </w:r>
      <w:r w:rsidR="004B4F3D">
        <w:rPr>
          <w:sz w:val="24"/>
          <w:szCs w:val="24"/>
        </w:rPr>
        <w:t xml:space="preserve"> über der Pauschale von 10.470 Euro</w:t>
      </w:r>
      <w:r w:rsidRPr="00C37B8D">
        <w:rPr>
          <w:sz w:val="24"/>
          <w:szCs w:val="24"/>
        </w:rPr>
        <w:t xml:space="preserve">. Der Landkreis Stendal hingegen war mit der Pauschale auskömmlich. </w:t>
      </w:r>
    </w:p>
    <w:p w:rsidR="0009370A" w:rsidRPr="00C37B8D" w:rsidRDefault="0009370A" w:rsidP="001322FC">
      <w:pPr>
        <w:jc w:val="both"/>
        <w:rPr>
          <w:sz w:val="24"/>
          <w:szCs w:val="24"/>
        </w:rPr>
      </w:pPr>
      <w:r w:rsidRPr="00C37B8D">
        <w:rPr>
          <w:sz w:val="24"/>
          <w:szCs w:val="24"/>
        </w:rPr>
        <w:t>Dafür ist der Landkreis Stendal in die Lage versetzt, flexibel auf veränderte Bedarfe zu reagieren, weil nach</w:t>
      </w:r>
      <w:r w:rsidR="00632D10" w:rsidRPr="00C37B8D">
        <w:rPr>
          <w:sz w:val="24"/>
          <w:szCs w:val="24"/>
        </w:rPr>
        <w:t xml:space="preserve"> dortiger</w:t>
      </w:r>
      <w:r w:rsidRPr="00C37B8D">
        <w:rPr>
          <w:sz w:val="24"/>
          <w:szCs w:val="24"/>
        </w:rPr>
        <w:t xml:space="preserve"> Auskunft die Mietverträge für Wohnungen mit der gesetzlichen Frist von 3 Monaten gekündigt werden können, wodurch Leerstandskosten vermeidbar sind. Ähnlich ist die Situation in Anhalt-Bitterfeld</w:t>
      </w:r>
      <w:r w:rsidR="00632D10" w:rsidRPr="00C37B8D">
        <w:rPr>
          <w:sz w:val="24"/>
          <w:szCs w:val="24"/>
        </w:rPr>
        <w:t xml:space="preserve">, wo überwiegend unbefristet Mietverträge abgeschlossen werden konnten und auch keine </w:t>
      </w:r>
      <w:r w:rsidR="000C291A" w:rsidRPr="00C37B8D">
        <w:rPr>
          <w:sz w:val="24"/>
          <w:szCs w:val="24"/>
        </w:rPr>
        <w:t xml:space="preserve">eigenen </w:t>
      </w:r>
      <w:r w:rsidR="00632D10" w:rsidRPr="00C37B8D">
        <w:rPr>
          <w:sz w:val="24"/>
          <w:szCs w:val="24"/>
        </w:rPr>
        <w:t>Übergangswohnheime bestehen. Der Landkreis Salzwedel ist in die Lage versetzt, zur Unterbringung teilweise auf eigene Liegenschaften zurückzugreifen und damit Mietkosten einspart, was deutlich bei den Unterbringungskosten erkennbar ist.</w:t>
      </w:r>
    </w:p>
    <w:p w:rsidR="00283111" w:rsidRPr="00C37B8D" w:rsidRDefault="00283111" w:rsidP="001322FC">
      <w:pPr>
        <w:spacing w:after="0"/>
        <w:jc w:val="both"/>
        <w:rPr>
          <w:sz w:val="24"/>
          <w:szCs w:val="24"/>
        </w:rPr>
      </w:pPr>
    </w:p>
    <w:p w:rsidR="00C74DD9" w:rsidRDefault="003C5FE9" w:rsidP="001322FC">
      <w:pPr>
        <w:spacing w:after="0"/>
        <w:jc w:val="both"/>
        <w:rPr>
          <w:sz w:val="24"/>
          <w:szCs w:val="24"/>
        </w:rPr>
      </w:pPr>
      <w:r>
        <w:rPr>
          <w:sz w:val="24"/>
          <w:szCs w:val="24"/>
        </w:rPr>
        <w:t>Augenscheinlich hat</w:t>
      </w:r>
      <w:r w:rsidR="009439AB" w:rsidRPr="00C37B8D">
        <w:rPr>
          <w:sz w:val="24"/>
          <w:szCs w:val="24"/>
        </w:rPr>
        <w:t xml:space="preserve"> der </w:t>
      </w:r>
      <w:r w:rsidR="000C291A" w:rsidRPr="00C37B8D">
        <w:rPr>
          <w:sz w:val="24"/>
          <w:szCs w:val="24"/>
        </w:rPr>
        <w:t>Burgenlandkreis</w:t>
      </w:r>
      <w:r w:rsidR="009439AB" w:rsidRPr="00C37B8D">
        <w:rPr>
          <w:sz w:val="24"/>
          <w:szCs w:val="24"/>
        </w:rPr>
        <w:t xml:space="preserve"> eine um 1/3 höhere Aufnahmequote als der LK WB, jedoch</w:t>
      </w:r>
      <w:r w:rsidR="007E1702" w:rsidRPr="00C37B8D">
        <w:rPr>
          <w:sz w:val="24"/>
          <w:szCs w:val="24"/>
        </w:rPr>
        <w:t xml:space="preserve"> im Verhältnis betrachtet, deutlich me</w:t>
      </w:r>
      <w:r>
        <w:rPr>
          <w:sz w:val="24"/>
          <w:szCs w:val="24"/>
        </w:rPr>
        <w:t>hr Personen zugewiesen bekommen; der Landkreis Mansfeld Südharz bei ähnlicher Aufnahmequote ca. 1/3 mehr Personen zugewiesen bekommen und der Landkreis Stendal</w:t>
      </w:r>
      <w:r w:rsidR="00C74DD9">
        <w:rPr>
          <w:sz w:val="24"/>
          <w:szCs w:val="24"/>
        </w:rPr>
        <w:t xml:space="preserve"> bei um 1/3 niedriger Aufnahmequo</w:t>
      </w:r>
      <w:r>
        <w:rPr>
          <w:sz w:val="24"/>
          <w:szCs w:val="24"/>
        </w:rPr>
        <w:t xml:space="preserve">te geringfügig mehr </w:t>
      </w:r>
      <w:r w:rsidR="00C74DD9">
        <w:rPr>
          <w:sz w:val="24"/>
          <w:szCs w:val="24"/>
        </w:rPr>
        <w:t xml:space="preserve">Personen zugewiesen erhalten. </w:t>
      </w:r>
      <w:r w:rsidR="007E1702" w:rsidRPr="00C37B8D">
        <w:rPr>
          <w:sz w:val="24"/>
          <w:szCs w:val="24"/>
        </w:rPr>
        <w:t xml:space="preserve"> Deutliche</w:t>
      </w:r>
      <w:r w:rsidR="00217F7C" w:rsidRPr="00C37B8D">
        <w:rPr>
          <w:sz w:val="24"/>
          <w:szCs w:val="24"/>
        </w:rPr>
        <w:t>r</w:t>
      </w:r>
      <w:r w:rsidR="007E1702" w:rsidRPr="00C37B8D">
        <w:rPr>
          <w:sz w:val="24"/>
          <w:szCs w:val="24"/>
        </w:rPr>
        <w:t xml:space="preserve"> noch fällt ein Vergleich mit der Stadt Halle aus. Bei einer um 2/3 höheren Aufnahmequote wurden 2,5-mal so viele Personen zugewiesen </w:t>
      </w:r>
    </w:p>
    <w:p w:rsidR="00C74DD9" w:rsidRDefault="00C74DD9" w:rsidP="009439AB">
      <w:pPr>
        <w:spacing w:after="0" w:line="240" w:lineRule="auto"/>
        <w:jc w:val="both"/>
        <w:rPr>
          <w:sz w:val="24"/>
          <w:szCs w:val="24"/>
        </w:rPr>
      </w:pPr>
    </w:p>
    <w:p w:rsidR="00C74DD9" w:rsidRDefault="001322FC" w:rsidP="009439AB">
      <w:pPr>
        <w:spacing w:after="0" w:line="240" w:lineRule="auto"/>
        <w:jc w:val="both"/>
        <w:rPr>
          <w:sz w:val="24"/>
          <w:szCs w:val="24"/>
        </w:rPr>
      </w:pPr>
      <w:r w:rsidRPr="001322FC">
        <w:rPr>
          <w:noProof/>
          <w:lang w:eastAsia="de-DE"/>
        </w:rPr>
        <w:drawing>
          <wp:inline distT="0" distB="0" distL="0" distR="0" wp14:anchorId="4E4C8DDB" wp14:editId="69EAE43F">
            <wp:extent cx="6328707" cy="9048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8293" cy="914824"/>
                    </a:xfrm>
                    <a:prstGeom prst="rect">
                      <a:avLst/>
                    </a:prstGeom>
                    <a:noFill/>
                    <a:ln>
                      <a:noFill/>
                    </a:ln>
                  </pic:spPr>
                </pic:pic>
              </a:graphicData>
            </a:graphic>
          </wp:inline>
        </w:drawing>
      </w:r>
    </w:p>
    <w:p w:rsidR="001322FC" w:rsidRDefault="001322FC" w:rsidP="009439AB">
      <w:pPr>
        <w:spacing w:after="0" w:line="240" w:lineRule="auto"/>
        <w:jc w:val="both"/>
        <w:rPr>
          <w:sz w:val="24"/>
          <w:szCs w:val="24"/>
        </w:rPr>
      </w:pPr>
    </w:p>
    <w:p w:rsidR="009439AB" w:rsidRDefault="007E1702" w:rsidP="001322FC">
      <w:pPr>
        <w:spacing w:after="0"/>
        <w:jc w:val="both"/>
        <w:rPr>
          <w:sz w:val="24"/>
          <w:szCs w:val="24"/>
        </w:rPr>
      </w:pPr>
      <w:r w:rsidRPr="00C37B8D">
        <w:rPr>
          <w:sz w:val="24"/>
          <w:szCs w:val="24"/>
        </w:rPr>
        <w:t xml:space="preserve">Damit lässt sich </w:t>
      </w:r>
      <w:r w:rsidR="000C291A" w:rsidRPr="00C37B8D">
        <w:rPr>
          <w:sz w:val="24"/>
          <w:szCs w:val="24"/>
        </w:rPr>
        <w:t>auch</w:t>
      </w:r>
      <w:r w:rsidRPr="00C37B8D">
        <w:rPr>
          <w:sz w:val="24"/>
          <w:szCs w:val="24"/>
        </w:rPr>
        <w:t xml:space="preserve"> feststellen, dass die Verteilung der nicht dauerhaft </w:t>
      </w:r>
      <w:r w:rsidR="00C74DD9">
        <w:rPr>
          <w:sz w:val="24"/>
          <w:szCs w:val="24"/>
        </w:rPr>
        <w:t>aufenthalts</w:t>
      </w:r>
      <w:r w:rsidRPr="00C37B8D">
        <w:rPr>
          <w:sz w:val="24"/>
          <w:szCs w:val="24"/>
        </w:rPr>
        <w:t xml:space="preserve">berechtigten </w:t>
      </w:r>
      <w:r w:rsidR="00C74DD9">
        <w:rPr>
          <w:sz w:val="24"/>
          <w:szCs w:val="24"/>
        </w:rPr>
        <w:t>Ausländer</w:t>
      </w:r>
      <w:r w:rsidRPr="00C37B8D">
        <w:rPr>
          <w:sz w:val="24"/>
          <w:szCs w:val="24"/>
        </w:rPr>
        <w:t xml:space="preserve"> nicht nach der vom Land vorgegebenen Quote erfolgt.</w:t>
      </w:r>
      <w:r w:rsidR="009439AB" w:rsidRPr="00C37B8D">
        <w:rPr>
          <w:sz w:val="24"/>
          <w:szCs w:val="24"/>
        </w:rPr>
        <w:t xml:space="preserve"> </w:t>
      </w:r>
      <w:r w:rsidR="00D3321F" w:rsidRPr="00C37B8D">
        <w:rPr>
          <w:sz w:val="24"/>
          <w:szCs w:val="24"/>
        </w:rPr>
        <w:t xml:space="preserve">Unter ähnlichen Bedingungen würde sich für den Landkreis Wittenberg ein deutlich reduzierter Tagessatz errechnen. Der Landkreis Wittenberg hat allerdings keine Möglichkeit der Einflussnahme auf die Zuweisung von Flüchtlingen </w:t>
      </w:r>
      <w:r w:rsidR="00D3321F">
        <w:rPr>
          <w:sz w:val="24"/>
          <w:szCs w:val="24"/>
        </w:rPr>
        <w:t>in einzelne Landkreise.</w:t>
      </w:r>
    </w:p>
    <w:p w:rsidR="009439AB" w:rsidRDefault="009439AB" w:rsidP="009439AB">
      <w:pPr>
        <w:spacing w:after="0" w:line="240" w:lineRule="auto"/>
        <w:jc w:val="both"/>
        <w:rPr>
          <w:color w:val="CC00FF"/>
          <w:sz w:val="24"/>
          <w:szCs w:val="24"/>
        </w:rPr>
      </w:pPr>
    </w:p>
    <w:tbl>
      <w:tblPr>
        <w:tblW w:w="9726" w:type="dxa"/>
        <w:tblInd w:w="65" w:type="dxa"/>
        <w:tblCellMar>
          <w:left w:w="70" w:type="dxa"/>
          <w:right w:w="70" w:type="dxa"/>
        </w:tblCellMar>
        <w:tblLook w:val="04A0" w:firstRow="1" w:lastRow="0" w:firstColumn="1" w:lastColumn="0" w:noHBand="0" w:noVBand="1"/>
      </w:tblPr>
      <w:tblGrid>
        <w:gridCol w:w="2415"/>
        <w:gridCol w:w="992"/>
        <w:gridCol w:w="1276"/>
        <w:gridCol w:w="852"/>
        <w:gridCol w:w="1275"/>
        <w:gridCol w:w="852"/>
        <w:gridCol w:w="1164"/>
        <w:gridCol w:w="900"/>
      </w:tblGrid>
      <w:tr w:rsidR="009439AB" w:rsidRPr="00405144" w:rsidTr="00B80A3C">
        <w:trPr>
          <w:trHeight w:val="1035"/>
        </w:trPr>
        <w:tc>
          <w:tcPr>
            <w:tcW w:w="241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9AB" w:rsidRPr="00405144" w:rsidRDefault="009439AB" w:rsidP="009439AB">
            <w:pPr>
              <w:spacing w:after="0" w:line="240" w:lineRule="auto"/>
              <w:jc w:val="center"/>
              <w:rPr>
                <w:rFonts w:eastAsia="Times New Roman" w:cs="Arial"/>
                <w:b/>
                <w:bCs/>
                <w:color w:val="000000"/>
                <w:sz w:val="16"/>
                <w:szCs w:val="16"/>
                <w:lang w:eastAsia="de-DE"/>
              </w:rPr>
            </w:pPr>
            <w:r w:rsidRPr="00405144">
              <w:rPr>
                <w:rFonts w:eastAsia="Times New Roman" w:cs="Arial"/>
                <w:b/>
                <w:bCs/>
                <w:color w:val="000000"/>
                <w:sz w:val="16"/>
                <w:szCs w:val="16"/>
                <w:lang w:eastAsia="de-DE"/>
              </w:rPr>
              <w:t>Landkreise</w:t>
            </w:r>
          </w:p>
        </w:tc>
        <w:tc>
          <w:tcPr>
            <w:tcW w:w="992" w:type="dxa"/>
            <w:tcBorders>
              <w:top w:val="single" w:sz="4" w:space="0" w:color="auto"/>
              <w:left w:val="nil"/>
              <w:bottom w:val="single" w:sz="4" w:space="0" w:color="auto"/>
              <w:right w:val="single" w:sz="4" w:space="0" w:color="000000"/>
            </w:tcBorders>
            <w:shd w:val="clear" w:color="auto" w:fill="auto"/>
            <w:vAlign w:val="bottom"/>
            <w:hideMark/>
          </w:tcPr>
          <w:p w:rsidR="009439AB" w:rsidRPr="00405144" w:rsidRDefault="009439AB" w:rsidP="009439AB">
            <w:pPr>
              <w:spacing w:after="0" w:line="240" w:lineRule="auto"/>
              <w:jc w:val="center"/>
              <w:rPr>
                <w:rFonts w:eastAsia="Times New Roman" w:cs="Arial"/>
                <w:b/>
                <w:bCs/>
                <w:color w:val="000000"/>
                <w:sz w:val="16"/>
                <w:szCs w:val="16"/>
                <w:lang w:eastAsia="de-DE"/>
              </w:rPr>
            </w:pPr>
            <w:r w:rsidRPr="00405144">
              <w:rPr>
                <w:rFonts w:eastAsia="Times New Roman" w:cs="Arial"/>
                <w:b/>
                <w:bCs/>
                <w:color w:val="000000"/>
                <w:sz w:val="16"/>
                <w:szCs w:val="16"/>
                <w:lang w:eastAsia="de-DE"/>
              </w:rPr>
              <w:t>Aufnahme-quote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439AB" w:rsidRPr="00405144" w:rsidRDefault="009439AB" w:rsidP="009439AB">
            <w:pPr>
              <w:spacing w:after="0" w:line="240" w:lineRule="auto"/>
              <w:jc w:val="center"/>
              <w:rPr>
                <w:rFonts w:eastAsia="Times New Roman" w:cs="Arial"/>
                <w:b/>
                <w:bCs/>
                <w:color w:val="000000"/>
                <w:sz w:val="16"/>
                <w:szCs w:val="16"/>
                <w:lang w:eastAsia="de-DE"/>
              </w:rPr>
            </w:pPr>
            <w:r w:rsidRPr="00405144">
              <w:rPr>
                <w:rFonts w:eastAsia="Times New Roman" w:cs="Arial"/>
                <w:b/>
                <w:bCs/>
                <w:color w:val="000000"/>
                <w:sz w:val="16"/>
                <w:szCs w:val="16"/>
                <w:lang w:eastAsia="de-DE"/>
              </w:rPr>
              <w:t>Unter-bringung</w:t>
            </w:r>
          </w:p>
        </w:tc>
        <w:tc>
          <w:tcPr>
            <w:tcW w:w="85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439AB" w:rsidRPr="00405144" w:rsidRDefault="009439AB" w:rsidP="009439AB">
            <w:pPr>
              <w:spacing w:after="0" w:line="240" w:lineRule="auto"/>
              <w:rPr>
                <w:rFonts w:eastAsia="Times New Roman" w:cs="Arial"/>
                <w:b/>
                <w:bCs/>
                <w:color w:val="000000"/>
                <w:sz w:val="16"/>
                <w:szCs w:val="16"/>
                <w:lang w:eastAsia="de-DE"/>
              </w:rPr>
            </w:pPr>
            <w:r w:rsidRPr="00405144">
              <w:rPr>
                <w:rFonts w:eastAsia="Times New Roman" w:cs="Arial"/>
                <w:b/>
                <w:bCs/>
                <w:color w:val="000000"/>
                <w:sz w:val="16"/>
                <w:szCs w:val="16"/>
                <w:lang w:eastAsia="de-DE"/>
              </w:rPr>
              <w:t>Verhältnis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439AB" w:rsidRPr="00405144" w:rsidRDefault="00613624" w:rsidP="009439AB">
            <w:pPr>
              <w:spacing w:after="0" w:line="240" w:lineRule="auto"/>
              <w:jc w:val="center"/>
              <w:rPr>
                <w:rFonts w:eastAsia="Times New Roman" w:cs="Arial"/>
                <w:b/>
                <w:bCs/>
                <w:color w:val="000000"/>
                <w:sz w:val="16"/>
                <w:szCs w:val="16"/>
                <w:lang w:eastAsia="de-DE"/>
              </w:rPr>
            </w:pPr>
            <w:r>
              <w:rPr>
                <w:rFonts w:eastAsia="Times New Roman" w:cs="Arial"/>
                <w:b/>
                <w:bCs/>
                <w:color w:val="000000"/>
                <w:sz w:val="16"/>
                <w:szCs w:val="16"/>
                <w:lang w:eastAsia="de-DE"/>
              </w:rPr>
              <w:t>Leistungen nach AsylbLG</w:t>
            </w:r>
          </w:p>
        </w:tc>
        <w:tc>
          <w:tcPr>
            <w:tcW w:w="85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439AB" w:rsidRPr="00405144" w:rsidRDefault="009439AB" w:rsidP="009439AB">
            <w:pPr>
              <w:spacing w:after="0" w:line="240" w:lineRule="auto"/>
              <w:rPr>
                <w:rFonts w:eastAsia="Times New Roman" w:cs="Arial"/>
                <w:b/>
                <w:bCs/>
                <w:color w:val="000000"/>
                <w:sz w:val="16"/>
                <w:szCs w:val="16"/>
                <w:lang w:eastAsia="de-DE"/>
              </w:rPr>
            </w:pPr>
            <w:r>
              <w:rPr>
                <w:rFonts w:eastAsia="Times New Roman" w:cs="Arial"/>
                <w:b/>
                <w:bCs/>
                <w:color w:val="000000"/>
                <w:sz w:val="16"/>
                <w:szCs w:val="16"/>
                <w:lang w:eastAsia="de-DE"/>
              </w:rPr>
              <w:t>V</w:t>
            </w:r>
            <w:r w:rsidRPr="00405144">
              <w:rPr>
                <w:rFonts w:eastAsia="Times New Roman" w:cs="Arial"/>
                <w:b/>
                <w:bCs/>
                <w:color w:val="000000"/>
                <w:sz w:val="16"/>
                <w:szCs w:val="16"/>
                <w:lang w:eastAsia="de-DE"/>
              </w:rPr>
              <w:t>erhältnis</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rsidR="009439AB" w:rsidRPr="00405144" w:rsidRDefault="009439AB" w:rsidP="009439AB">
            <w:pPr>
              <w:spacing w:after="0" w:line="240" w:lineRule="auto"/>
              <w:jc w:val="center"/>
              <w:rPr>
                <w:rFonts w:eastAsia="Times New Roman" w:cs="Arial"/>
                <w:b/>
                <w:bCs/>
                <w:color w:val="000000"/>
                <w:sz w:val="16"/>
                <w:szCs w:val="16"/>
                <w:lang w:eastAsia="de-DE"/>
              </w:rPr>
            </w:pPr>
            <w:r w:rsidRPr="00405144">
              <w:rPr>
                <w:rFonts w:eastAsia="Times New Roman" w:cs="Arial"/>
                <w:b/>
                <w:bCs/>
                <w:color w:val="000000"/>
                <w:sz w:val="16"/>
                <w:szCs w:val="16"/>
                <w:lang w:eastAsia="de-DE"/>
              </w:rPr>
              <w:t>Personal- kosten</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439AB" w:rsidRPr="00405144" w:rsidRDefault="009439AB" w:rsidP="009439AB">
            <w:pPr>
              <w:spacing w:after="0" w:line="240" w:lineRule="auto"/>
              <w:rPr>
                <w:rFonts w:eastAsia="Times New Roman" w:cs="Arial"/>
                <w:b/>
                <w:bCs/>
                <w:color w:val="000000"/>
                <w:sz w:val="16"/>
                <w:szCs w:val="16"/>
                <w:lang w:eastAsia="de-DE"/>
              </w:rPr>
            </w:pPr>
            <w:r>
              <w:rPr>
                <w:rFonts w:eastAsia="Times New Roman" w:cs="Arial"/>
                <w:b/>
                <w:bCs/>
                <w:color w:val="000000"/>
                <w:sz w:val="16"/>
                <w:szCs w:val="16"/>
                <w:lang w:eastAsia="de-DE"/>
              </w:rPr>
              <w:t>V</w:t>
            </w:r>
            <w:r w:rsidRPr="00405144">
              <w:rPr>
                <w:rFonts w:eastAsia="Times New Roman" w:cs="Arial"/>
                <w:b/>
                <w:bCs/>
                <w:color w:val="000000"/>
                <w:sz w:val="16"/>
                <w:szCs w:val="16"/>
                <w:lang w:eastAsia="de-DE"/>
              </w:rPr>
              <w:t>erhältnis</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SAW - Altmarkkreis Salzwedel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jc w:val="center"/>
              <w:rPr>
                <w:rFonts w:eastAsia="Times New Roman" w:cs="Arial"/>
                <w:color w:val="000000"/>
                <w:sz w:val="16"/>
                <w:szCs w:val="16"/>
                <w:lang w:eastAsia="de-DE"/>
              </w:rPr>
            </w:pPr>
            <w:r w:rsidRPr="00405144">
              <w:rPr>
                <w:rFonts w:eastAsia="Times New Roman" w:cs="Arial"/>
                <w:color w:val="000000"/>
                <w:sz w:val="16"/>
                <w:szCs w:val="16"/>
                <w:lang w:eastAsia="de-DE"/>
              </w:rPr>
              <w:t>4,3</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3.479.717,24</w:t>
            </w:r>
          </w:p>
        </w:tc>
        <w:tc>
          <w:tcPr>
            <w:tcW w:w="852" w:type="dxa"/>
            <w:tcBorders>
              <w:top w:val="nil"/>
              <w:left w:val="nil"/>
              <w:bottom w:val="single" w:sz="4" w:space="0" w:color="auto"/>
              <w:right w:val="single" w:sz="4" w:space="0" w:color="auto"/>
            </w:tcBorders>
            <w:shd w:val="clear" w:color="auto" w:fill="auto"/>
            <w:noWrap/>
            <w:vAlign w:val="bottom"/>
            <w:hideMark/>
          </w:tcPr>
          <w:p w:rsidR="009439AB" w:rsidRPr="009E5F95" w:rsidRDefault="00B80A3C" w:rsidP="009439AB">
            <w:pPr>
              <w:spacing w:after="0" w:line="240" w:lineRule="auto"/>
              <w:jc w:val="right"/>
              <w:rPr>
                <w:rFonts w:eastAsia="Times New Roman" w:cs="Arial"/>
                <w:color w:val="00B050"/>
                <w:sz w:val="16"/>
                <w:szCs w:val="16"/>
                <w:lang w:eastAsia="de-DE"/>
              </w:rPr>
            </w:pPr>
            <w:r w:rsidRPr="009E5F95">
              <w:rPr>
                <w:rFonts w:eastAsia="Times New Roman" w:cs="Arial"/>
                <w:color w:val="00B050"/>
                <w:sz w:val="16"/>
                <w:szCs w:val="16"/>
                <w:lang w:eastAsia="de-DE"/>
              </w:rPr>
              <w:t>809.237</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4.535.412,69</w:t>
            </w:r>
          </w:p>
        </w:tc>
        <w:tc>
          <w:tcPr>
            <w:tcW w:w="852" w:type="dxa"/>
            <w:tcBorders>
              <w:top w:val="nil"/>
              <w:left w:val="nil"/>
              <w:bottom w:val="single" w:sz="4" w:space="0" w:color="auto"/>
              <w:right w:val="single" w:sz="4" w:space="0" w:color="auto"/>
            </w:tcBorders>
            <w:shd w:val="clear" w:color="auto" w:fill="auto"/>
            <w:noWrap/>
            <w:vAlign w:val="bottom"/>
          </w:tcPr>
          <w:p w:rsidR="009439AB" w:rsidRPr="00881627" w:rsidRDefault="00F51F15" w:rsidP="009E5F95">
            <w:pPr>
              <w:spacing w:after="0" w:line="240" w:lineRule="auto"/>
              <w:jc w:val="right"/>
              <w:rPr>
                <w:rFonts w:eastAsia="Times New Roman" w:cs="Arial"/>
                <w:sz w:val="16"/>
                <w:szCs w:val="16"/>
                <w:lang w:eastAsia="de-DE"/>
              </w:rPr>
            </w:pPr>
            <w:r w:rsidRPr="00881627">
              <w:rPr>
                <w:rFonts w:eastAsia="Times New Roman" w:cs="Arial"/>
                <w:sz w:val="16"/>
                <w:szCs w:val="16"/>
                <w:lang w:eastAsia="de-DE"/>
              </w:rPr>
              <w:t>1.</w:t>
            </w:r>
            <w:r w:rsidR="009E5F95" w:rsidRPr="00881627">
              <w:rPr>
                <w:rFonts w:eastAsia="Times New Roman" w:cs="Arial"/>
                <w:sz w:val="16"/>
                <w:szCs w:val="16"/>
                <w:lang w:eastAsia="de-DE"/>
              </w:rPr>
              <w:t>054.747</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2C4621" w:rsidP="002C4621">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1.130.276,05</w:t>
            </w:r>
          </w:p>
        </w:tc>
        <w:tc>
          <w:tcPr>
            <w:tcW w:w="900" w:type="dxa"/>
            <w:tcBorders>
              <w:top w:val="nil"/>
              <w:left w:val="nil"/>
              <w:bottom w:val="single" w:sz="4" w:space="0" w:color="auto"/>
              <w:right w:val="single" w:sz="4" w:space="0" w:color="auto"/>
            </w:tcBorders>
            <w:shd w:val="clear" w:color="auto" w:fill="auto"/>
            <w:noWrap/>
            <w:vAlign w:val="bottom"/>
          </w:tcPr>
          <w:p w:rsidR="009439AB" w:rsidRPr="00C0610E" w:rsidRDefault="002C4621" w:rsidP="009439AB">
            <w:pPr>
              <w:spacing w:after="0" w:line="240" w:lineRule="auto"/>
              <w:jc w:val="right"/>
              <w:rPr>
                <w:rFonts w:eastAsia="Times New Roman" w:cs="Arial"/>
                <w:color w:val="00B050"/>
                <w:sz w:val="16"/>
                <w:szCs w:val="16"/>
                <w:lang w:eastAsia="de-DE"/>
              </w:rPr>
            </w:pPr>
            <w:r>
              <w:rPr>
                <w:rFonts w:eastAsia="Times New Roman" w:cs="Arial"/>
                <w:color w:val="00B050"/>
                <w:sz w:val="16"/>
                <w:szCs w:val="16"/>
                <w:lang w:eastAsia="de-DE"/>
              </w:rPr>
              <w:t>262.855</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ABI - Anhalt-Bitterfeld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CD747E"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7,8</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6.036.037,30</w:t>
            </w:r>
          </w:p>
        </w:tc>
        <w:tc>
          <w:tcPr>
            <w:tcW w:w="852" w:type="dxa"/>
            <w:tcBorders>
              <w:top w:val="nil"/>
              <w:left w:val="nil"/>
              <w:bottom w:val="single" w:sz="4" w:space="0" w:color="auto"/>
              <w:right w:val="single" w:sz="4" w:space="0" w:color="auto"/>
            </w:tcBorders>
            <w:shd w:val="clear" w:color="auto" w:fill="auto"/>
            <w:noWrap/>
            <w:vAlign w:val="bottom"/>
            <w:hideMark/>
          </w:tcPr>
          <w:p w:rsidR="009439AB" w:rsidRPr="009E5F95" w:rsidRDefault="00B80A3C" w:rsidP="009439AB">
            <w:pPr>
              <w:spacing w:after="0" w:line="240" w:lineRule="auto"/>
              <w:jc w:val="right"/>
              <w:rPr>
                <w:rFonts w:eastAsia="Times New Roman" w:cs="Arial"/>
                <w:color w:val="00B050"/>
                <w:sz w:val="16"/>
                <w:szCs w:val="16"/>
                <w:lang w:eastAsia="de-DE"/>
              </w:rPr>
            </w:pPr>
            <w:r w:rsidRPr="009E5F95">
              <w:rPr>
                <w:rFonts w:eastAsia="Times New Roman" w:cs="Arial"/>
                <w:color w:val="00B050"/>
                <w:sz w:val="16"/>
                <w:szCs w:val="16"/>
                <w:lang w:eastAsia="de-DE"/>
              </w:rPr>
              <w:t>773.851</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6.802.197,58</w:t>
            </w:r>
          </w:p>
        </w:tc>
        <w:tc>
          <w:tcPr>
            <w:tcW w:w="852" w:type="dxa"/>
            <w:tcBorders>
              <w:top w:val="nil"/>
              <w:left w:val="nil"/>
              <w:bottom w:val="single" w:sz="4" w:space="0" w:color="auto"/>
              <w:right w:val="single" w:sz="4" w:space="0" w:color="auto"/>
            </w:tcBorders>
            <w:shd w:val="clear" w:color="auto" w:fill="auto"/>
            <w:noWrap/>
            <w:vAlign w:val="bottom"/>
          </w:tcPr>
          <w:p w:rsidR="009439AB" w:rsidRPr="00881627" w:rsidRDefault="009E5F95" w:rsidP="009439AB">
            <w:pPr>
              <w:spacing w:after="0" w:line="240" w:lineRule="auto"/>
              <w:jc w:val="right"/>
              <w:rPr>
                <w:rFonts w:eastAsia="Times New Roman" w:cs="Arial"/>
                <w:sz w:val="16"/>
                <w:szCs w:val="16"/>
                <w:lang w:eastAsia="de-DE"/>
              </w:rPr>
            </w:pPr>
            <w:r w:rsidRPr="00881627">
              <w:rPr>
                <w:rFonts w:eastAsia="Times New Roman" w:cs="Arial"/>
                <w:sz w:val="16"/>
                <w:szCs w:val="16"/>
                <w:lang w:eastAsia="de-DE"/>
              </w:rPr>
              <w:t>872.077</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1.301.606,57</w:t>
            </w:r>
          </w:p>
        </w:tc>
        <w:tc>
          <w:tcPr>
            <w:tcW w:w="900" w:type="dxa"/>
            <w:tcBorders>
              <w:top w:val="nil"/>
              <w:left w:val="nil"/>
              <w:bottom w:val="single" w:sz="4" w:space="0" w:color="auto"/>
              <w:right w:val="single" w:sz="4" w:space="0" w:color="auto"/>
            </w:tcBorders>
            <w:shd w:val="clear" w:color="auto" w:fill="auto"/>
            <w:noWrap/>
            <w:vAlign w:val="bottom"/>
          </w:tcPr>
          <w:p w:rsidR="009439AB" w:rsidRPr="00C0610E" w:rsidRDefault="008813E0"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166.873</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BK - Börde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CD747E"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8,4</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10.808.186,83</w:t>
            </w:r>
          </w:p>
        </w:tc>
        <w:tc>
          <w:tcPr>
            <w:tcW w:w="852" w:type="dxa"/>
            <w:tcBorders>
              <w:top w:val="nil"/>
              <w:left w:val="nil"/>
              <w:bottom w:val="single" w:sz="4" w:space="0" w:color="auto"/>
              <w:right w:val="single" w:sz="4" w:space="0" w:color="auto"/>
            </w:tcBorders>
            <w:shd w:val="clear" w:color="auto" w:fill="auto"/>
            <w:noWrap/>
            <w:vAlign w:val="bottom"/>
            <w:hideMark/>
          </w:tcPr>
          <w:p w:rsidR="009439AB" w:rsidRPr="009E5F95" w:rsidRDefault="00F51F15" w:rsidP="00F51F15">
            <w:pPr>
              <w:spacing w:after="0" w:line="240" w:lineRule="auto"/>
              <w:jc w:val="center"/>
              <w:rPr>
                <w:rFonts w:eastAsia="Times New Roman" w:cs="Arial"/>
                <w:sz w:val="16"/>
                <w:szCs w:val="16"/>
                <w:lang w:eastAsia="de-DE"/>
              </w:rPr>
            </w:pPr>
            <w:r w:rsidRPr="009E5F95">
              <w:rPr>
                <w:rFonts w:eastAsia="Times New Roman" w:cs="Arial"/>
                <w:sz w:val="16"/>
                <w:szCs w:val="16"/>
                <w:lang w:eastAsia="de-DE"/>
              </w:rPr>
              <w:t>1.286.689</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7.644.934,06</w:t>
            </w:r>
          </w:p>
        </w:tc>
        <w:tc>
          <w:tcPr>
            <w:tcW w:w="852" w:type="dxa"/>
            <w:tcBorders>
              <w:top w:val="nil"/>
              <w:left w:val="nil"/>
              <w:bottom w:val="single" w:sz="4" w:space="0" w:color="auto"/>
              <w:right w:val="single" w:sz="4" w:space="0" w:color="auto"/>
            </w:tcBorders>
            <w:shd w:val="clear" w:color="auto" w:fill="auto"/>
            <w:noWrap/>
            <w:vAlign w:val="bottom"/>
          </w:tcPr>
          <w:p w:rsidR="009439AB" w:rsidRPr="00881627" w:rsidRDefault="00C811E8" w:rsidP="009439AB">
            <w:pPr>
              <w:spacing w:after="0" w:line="240" w:lineRule="auto"/>
              <w:jc w:val="right"/>
              <w:rPr>
                <w:rFonts w:eastAsia="Times New Roman" w:cs="Arial"/>
                <w:sz w:val="16"/>
                <w:szCs w:val="16"/>
                <w:lang w:eastAsia="de-DE"/>
              </w:rPr>
            </w:pPr>
            <w:r w:rsidRPr="00881627">
              <w:rPr>
                <w:rFonts w:eastAsia="Times New Roman" w:cs="Arial"/>
                <w:sz w:val="16"/>
                <w:szCs w:val="16"/>
                <w:lang w:eastAsia="de-DE"/>
              </w:rPr>
              <w:t>910.111</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1.365.795,72</w:t>
            </w:r>
          </w:p>
        </w:tc>
        <w:tc>
          <w:tcPr>
            <w:tcW w:w="900" w:type="dxa"/>
            <w:tcBorders>
              <w:top w:val="nil"/>
              <w:left w:val="nil"/>
              <w:bottom w:val="single" w:sz="4" w:space="0" w:color="auto"/>
              <w:right w:val="single" w:sz="4" w:space="0" w:color="auto"/>
            </w:tcBorders>
            <w:shd w:val="clear" w:color="auto" w:fill="auto"/>
            <w:noWrap/>
            <w:vAlign w:val="bottom"/>
          </w:tcPr>
          <w:p w:rsidR="009439AB" w:rsidRPr="00C0610E" w:rsidRDefault="008813E0"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162.595</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BLK - Burgenlandkreis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CD747E"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8,6</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9.459.876,92</w:t>
            </w:r>
          </w:p>
        </w:tc>
        <w:tc>
          <w:tcPr>
            <w:tcW w:w="852" w:type="dxa"/>
            <w:tcBorders>
              <w:top w:val="nil"/>
              <w:left w:val="nil"/>
              <w:bottom w:val="single" w:sz="4" w:space="0" w:color="auto"/>
              <w:right w:val="single" w:sz="4" w:space="0" w:color="auto"/>
            </w:tcBorders>
            <w:shd w:val="clear" w:color="auto" w:fill="auto"/>
            <w:noWrap/>
            <w:vAlign w:val="bottom"/>
            <w:hideMark/>
          </w:tcPr>
          <w:p w:rsidR="009439AB" w:rsidRPr="009E5F95" w:rsidRDefault="00B80A3C" w:rsidP="009439AB">
            <w:pPr>
              <w:spacing w:after="0" w:line="240" w:lineRule="auto"/>
              <w:jc w:val="right"/>
              <w:rPr>
                <w:rFonts w:eastAsia="Times New Roman" w:cs="Arial"/>
                <w:sz w:val="16"/>
                <w:szCs w:val="16"/>
                <w:lang w:eastAsia="de-DE"/>
              </w:rPr>
            </w:pPr>
            <w:r w:rsidRPr="009E5F95">
              <w:rPr>
                <w:rFonts w:eastAsia="Times New Roman" w:cs="Arial"/>
                <w:sz w:val="16"/>
                <w:szCs w:val="16"/>
                <w:lang w:eastAsia="de-DE"/>
              </w:rPr>
              <w:t>1.099.986</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10.582.284,62</w:t>
            </w:r>
          </w:p>
        </w:tc>
        <w:tc>
          <w:tcPr>
            <w:tcW w:w="852" w:type="dxa"/>
            <w:tcBorders>
              <w:top w:val="nil"/>
              <w:left w:val="nil"/>
              <w:bottom w:val="single" w:sz="4" w:space="0" w:color="auto"/>
              <w:right w:val="single" w:sz="4" w:space="0" w:color="auto"/>
            </w:tcBorders>
            <w:shd w:val="clear" w:color="auto" w:fill="auto"/>
            <w:noWrap/>
            <w:vAlign w:val="bottom"/>
          </w:tcPr>
          <w:p w:rsidR="009439AB" w:rsidRPr="00881627" w:rsidRDefault="00C811E8" w:rsidP="009E5F95">
            <w:pPr>
              <w:spacing w:after="0" w:line="240" w:lineRule="auto"/>
              <w:jc w:val="right"/>
              <w:rPr>
                <w:rFonts w:eastAsia="Times New Roman" w:cs="Arial"/>
                <w:sz w:val="16"/>
                <w:szCs w:val="16"/>
                <w:lang w:eastAsia="de-DE"/>
              </w:rPr>
            </w:pPr>
            <w:r w:rsidRPr="00881627">
              <w:rPr>
                <w:rFonts w:eastAsia="Times New Roman" w:cs="Arial"/>
                <w:sz w:val="16"/>
                <w:szCs w:val="16"/>
                <w:lang w:eastAsia="de-DE"/>
              </w:rPr>
              <w:t>1</w:t>
            </w:r>
            <w:r w:rsidR="00881627" w:rsidRPr="00881627">
              <w:rPr>
                <w:rFonts w:eastAsia="Times New Roman" w:cs="Arial"/>
                <w:sz w:val="16"/>
                <w:szCs w:val="16"/>
                <w:lang w:eastAsia="de-DE"/>
              </w:rPr>
              <w:t>.</w:t>
            </w:r>
            <w:r w:rsidR="009E5F95" w:rsidRPr="00881627">
              <w:rPr>
                <w:rFonts w:eastAsia="Times New Roman" w:cs="Arial"/>
                <w:sz w:val="16"/>
                <w:szCs w:val="16"/>
                <w:lang w:eastAsia="de-DE"/>
              </w:rPr>
              <w:t>230.498</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2.086.686,11</w:t>
            </w:r>
          </w:p>
        </w:tc>
        <w:tc>
          <w:tcPr>
            <w:tcW w:w="900" w:type="dxa"/>
            <w:tcBorders>
              <w:top w:val="nil"/>
              <w:left w:val="nil"/>
              <w:bottom w:val="single" w:sz="4" w:space="0" w:color="auto"/>
              <w:right w:val="single" w:sz="4" w:space="0" w:color="auto"/>
            </w:tcBorders>
            <w:shd w:val="clear" w:color="auto" w:fill="auto"/>
            <w:noWrap/>
            <w:vAlign w:val="bottom"/>
          </w:tcPr>
          <w:p w:rsidR="009439AB" w:rsidRPr="00C0610E" w:rsidRDefault="008813E0"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242.638</w:t>
            </w:r>
          </w:p>
        </w:tc>
      </w:tr>
      <w:tr w:rsidR="00687DF5"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DF5" w:rsidRPr="00405144" w:rsidRDefault="00687DF5" w:rsidP="009439AB">
            <w:pPr>
              <w:spacing w:after="0" w:line="240" w:lineRule="auto"/>
              <w:rPr>
                <w:rFonts w:eastAsia="Times New Roman" w:cs="Arial"/>
                <w:color w:val="000000"/>
                <w:sz w:val="16"/>
                <w:szCs w:val="16"/>
                <w:lang w:eastAsia="de-DE"/>
              </w:rPr>
            </w:pPr>
            <w:r>
              <w:rPr>
                <w:rFonts w:eastAsia="Times New Roman" w:cs="Arial"/>
                <w:color w:val="000000"/>
                <w:sz w:val="16"/>
                <w:szCs w:val="16"/>
                <w:lang w:eastAsia="de-DE"/>
              </w:rPr>
              <w:t>DE – Dessau-Roßlau</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7DF5"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4,1</w:t>
            </w:r>
          </w:p>
        </w:tc>
        <w:tc>
          <w:tcPr>
            <w:tcW w:w="1276" w:type="dxa"/>
            <w:tcBorders>
              <w:top w:val="single" w:sz="4" w:space="0" w:color="auto"/>
              <w:left w:val="nil"/>
              <w:bottom w:val="single" w:sz="4" w:space="0" w:color="auto"/>
              <w:right w:val="single" w:sz="4" w:space="0" w:color="000000"/>
            </w:tcBorders>
            <w:shd w:val="clear" w:color="auto" w:fill="auto"/>
            <w:noWrap/>
            <w:vAlign w:val="bottom"/>
          </w:tcPr>
          <w:p w:rsidR="00687DF5"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3.551.433,90</w:t>
            </w:r>
          </w:p>
        </w:tc>
        <w:tc>
          <w:tcPr>
            <w:tcW w:w="852" w:type="dxa"/>
            <w:tcBorders>
              <w:top w:val="nil"/>
              <w:left w:val="nil"/>
              <w:bottom w:val="single" w:sz="4" w:space="0" w:color="auto"/>
              <w:right w:val="single" w:sz="4" w:space="0" w:color="auto"/>
            </w:tcBorders>
            <w:shd w:val="clear" w:color="auto" w:fill="auto"/>
            <w:noWrap/>
            <w:vAlign w:val="bottom"/>
          </w:tcPr>
          <w:p w:rsidR="00687DF5" w:rsidRPr="009E5F95" w:rsidRDefault="00F51F15" w:rsidP="009439AB">
            <w:pPr>
              <w:spacing w:after="0" w:line="240" w:lineRule="auto"/>
              <w:jc w:val="right"/>
              <w:rPr>
                <w:rFonts w:eastAsia="Times New Roman" w:cs="Arial"/>
                <w:sz w:val="16"/>
                <w:szCs w:val="16"/>
                <w:lang w:eastAsia="de-DE"/>
              </w:rPr>
            </w:pPr>
            <w:r w:rsidRPr="009E5F95">
              <w:rPr>
                <w:rFonts w:eastAsia="Times New Roman" w:cs="Arial"/>
                <w:color w:val="00B050"/>
                <w:sz w:val="16"/>
                <w:szCs w:val="16"/>
                <w:lang w:eastAsia="de-DE"/>
              </w:rPr>
              <w:t>866.203</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687DF5"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3.582.120,45</w:t>
            </w:r>
          </w:p>
        </w:tc>
        <w:tc>
          <w:tcPr>
            <w:tcW w:w="852" w:type="dxa"/>
            <w:tcBorders>
              <w:top w:val="nil"/>
              <w:left w:val="nil"/>
              <w:bottom w:val="single" w:sz="4" w:space="0" w:color="auto"/>
              <w:right w:val="single" w:sz="4" w:space="0" w:color="auto"/>
            </w:tcBorders>
            <w:shd w:val="clear" w:color="auto" w:fill="auto"/>
            <w:noWrap/>
            <w:vAlign w:val="bottom"/>
          </w:tcPr>
          <w:p w:rsidR="00687DF5" w:rsidRPr="00881627" w:rsidRDefault="00C811E8" w:rsidP="009439AB">
            <w:pPr>
              <w:spacing w:after="0" w:line="240" w:lineRule="auto"/>
              <w:jc w:val="right"/>
              <w:rPr>
                <w:rFonts w:eastAsia="Times New Roman" w:cs="Arial"/>
                <w:sz w:val="16"/>
                <w:szCs w:val="16"/>
                <w:lang w:eastAsia="de-DE"/>
              </w:rPr>
            </w:pPr>
            <w:r w:rsidRPr="00881627">
              <w:rPr>
                <w:rFonts w:eastAsia="Times New Roman" w:cs="Arial"/>
                <w:color w:val="00B050"/>
                <w:sz w:val="16"/>
                <w:szCs w:val="16"/>
                <w:lang w:eastAsia="de-DE"/>
              </w:rPr>
              <w:t>873.688</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687DF5"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830.950,60</w:t>
            </w:r>
          </w:p>
        </w:tc>
        <w:tc>
          <w:tcPr>
            <w:tcW w:w="900" w:type="dxa"/>
            <w:tcBorders>
              <w:top w:val="nil"/>
              <w:left w:val="nil"/>
              <w:bottom w:val="single" w:sz="4" w:space="0" w:color="auto"/>
              <w:right w:val="single" w:sz="4" w:space="0" w:color="auto"/>
            </w:tcBorders>
            <w:shd w:val="clear" w:color="auto" w:fill="auto"/>
            <w:noWrap/>
            <w:vAlign w:val="bottom"/>
          </w:tcPr>
          <w:p w:rsidR="00687DF5" w:rsidRPr="00C0610E" w:rsidRDefault="008813E0"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202.671</w:t>
            </w:r>
          </w:p>
        </w:tc>
      </w:tr>
      <w:tr w:rsidR="00687DF5"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DF5" w:rsidRDefault="00687DF5" w:rsidP="009439AB">
            <w:pPr>
              <w:spacing w:after="0" w:line="240" w:lineRule="auto"/>
              <w:rPr>
                <w:rFonts w:eastAsia="Times New Roman" w:cs="Arial"/>
                <w:color w:val="000000"/>
                <w:sz w:val="16"/>
                <w:szCs w:val="16"/>
                <w:lang w:eastAsia="de-DE"/>
              </w:rPr>
            </w:pPr>
            <w:r>
              <w:rPr>
                <w:rFonts w:eastAsia="Times New Roman" w:cs="Arial"/>
                <w:color w:val="000000"/>
                <w:sz w:val="16"/>
                <w:szCs w:val="16"/>
                <w:lang w:eastAsia="de-DE"/>
              </w:rPr>
              <w:t>HAL - Halle</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7DF5"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10,6</w:t>
            </w:r>
          </w:p>
        </w:tc>
        <w:tc>
          <w:tcPr>
            <w:tcW w:w="1276" w:type="dxa"/>
            <w:tcBorders>
              <w:top w:val="single" w:sz="4" w:space="0" w:color="auto"/>
              <w:left w:val="nil"/>
              <w:bottom w:val="single" w:sz="4" w:space="0" w:color="auto"/>
              <w:right w:val="single" w:sz="4" w:space="0" w:color="000000"/>
            </w:tcBorders>
            <w:shd w:val="clear" w:color="auto" w:fill="auto"/>
            <w:noWrap/>
            <w:vAlign w:val="bottom"/>
          </w:tcPr>
          <w:p w:rsidR="00687DF5"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10.595.754,59</w:t>
            </w:r>
          </w:p>
        </w:tc>
        <w:tc>
          <w:tcPr>
            <w:tcW w:w="852" w:type="dxa"/>
            <w:tcBorders>
              <w:top w:val="nil"/>
              <w:left w:val="nil"/>
              <w:bottom w:val="single" w:sz="4" w:space="0" w:color="auto"/>
              <w:right w:val="single" w:sz="4" w:space="0" w:color="auto"/>
            </w:tcBorders>
            <w:shd w:val="clear" w:color="auto" w:fill="auto"/>
            <w:noWrap/>
            <w:vAlign w:val="bottom"/>
          </w:tcPr>
          <w:p w:rsidR="00687DF5" w:rsidRPr="009E5F95" w:rsidRDefault="00B80A3C" w:rsidP="009439AB">
            <w:pPr>
              <w:spacing w:after="0" w:line="240" w:lineRule="auto"/>
              <w:jc w:val="right"/>
              <w:rPr>
                <w:rFonts w:eastAsia="Times New Roman" w:cs="Arial"/>
                <w:sz w:val="16"/>
                <w:szCs w:val="16"/>
                <w:lang w:eastAsia="de-DE"/>
              </w:rPr>
            </w:pPr>
            <w:r w:rsidRPr="009E5F95">
              <w:rPr>
                <w:rFonts w:eastAsia="Times New Roman" w:cs="Arial"/>
                <w:sz w:val="16"/>
                <w:szCs w:val="16"/>
                <w:lang w:eastAsia="de-DE"/>
              </w:rPr>
              <w:t>999.599</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687DF5"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15.915.399,75</w:t>
            </w:r>
          </w:p>
        </w:tc>
        <w:tc>
          <w:tcPr>
            <w:tcW w:w="852" w:type="dxa"/>
            <w:tcBorders>
              <w:top w:val="nil"/>
              <w:left w:val="nil"/>
              <w:bottom w:val="single" w:sz="4" w:space="0" w:color="auto"/>
              <w:right w:val="single" w:sz="4" w:space="0" w:color="auto"/>
            </w:tcBorders>
            <w:shd w:val="clear" w:color="auto" w:fill="auto"/>
            <w:noWrap/>
            <w:vAlign w:val="bottom"/>
          </w:tcPr>
          <w:p w:rsidR="00687DF5" w:rsidRPr="00881627" w:rsidRDefault="00C811E8" w:rsidP="009E5F95">
            <w:pPr>
              <w:spacing w:after="0" w:line="240" w:lineRule="auto"/>
              <w:jc w:val="right"/>
              <w:rPr>
                <w:rFonts w:eastAsia="Times New Roman" w:cs="Arial"/>
                <w:sz w:val="16"/>
                <w:szCs w:val="16"/>
                <w:lang w:eastAsia="de-DE"/>
              </w:rPr>
            </w:pPr>
            <w:r w:rsidRPr="00881627">
              <w:rPr>
                <w:rFonts w:eastAsia="Times New Roman" w:cs="Arial"/>
                <w:sz w:val="16"/>
                <w:szCs w:val="16"/>
                <w:lang w:eastAsia="de-DE"/>
              </w:rPr>
              <w:t>1.</w:t>
            </w:r>
            <w:r w:rsidR="009E5F95" w:rsidRPr="00881627">
              <w:rPr>
                <w:rFonts w:eastAsia="Times New Roman" w:cs="Arial"/>
                <w:sz w:val="16"/>
                <w:szCs w:val="16"/>
                <w:lang w:eastAsia="de-DE"/>
              </w:rPr>
              <w:t>501.453</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687DF5"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2.417.827,20</w:t>
            </w:r>
          </w:p>
        </w:tc>
        <w:tc>
          <w:tcPr>
            <w:tcW w:w="900" w:type="dxa"/>
            <w:tcBorders>
              <w:top w:val="nil"/>
              <w:left w:val="nil"/>
              <w:bottom w:val="single" w:sz="4" w:space="0" w:color="auto"/>
              <w:right w:val="single" w:sz="4" w:space="0" w:color="auto"/>
            </w:tcBorders>
            <w:shd w:val="clear" w:color="auto" w:fill="auto"/>
            <w:noWrap/>
            <w:vAlign w:val="bottom"/>
          </w:tcPr>
          <w:p w:rsidR="00687DF5" w:rsidRPr="00C0610E" w:rsidRDefault="008813E0"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228.097</w:t>
            </w:r>
          </w:p>
        </w:tc>
      </w:tr>
      <w:tr w:rsidR="00687DF5"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DF5" w:rsidRDefault="00687DF5" w:rsidP="009439AB">
            <w:pPr>
              <w:spacing w:after="0" w:line="240" w:lineRule="auto"/>
              <w:rPr>
                <w:rFonts w:eastAsia="Times New Roman" w:cs="Arial"/>
                <w:color w:val="000000"/>
                <w:sz w:val="16"/>
                <w:szCs w:val="16"/>
                <w:lang w:eastAsia="de-DE"/>
              </w:rPr>
            </w:pPr>
            <w:r>
              <w:rPr>
                <w:rFonts w:eastAsia="Times New Roman" w:cs="Arial"/>
                <w:color w:val="000000"/>
                <w:sz w:val="16"/>
                <w:szCs w:val="16"/>
                <w:lang w:eastAsia="de-DE"/>
              </w:rPr>
              <w:t>HZ - Harz</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7DF5"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5,4</w:t>
            </w:r>
          </w:p>
        </w:tc>
        <w:tc>
          <w:tcPr>
            <w:tcW w:w="1276" w:type="dxa"/>
            <w:tcBorders>
              <w:top w:val="single" w:sz="4" w:space="0" w:color="auto"/>
              <w:left w:val="nil"/>
              <w:bottom w:val="single" w:sz="4" w:space="0" w:color="auto"/>
              <w:right w:val="single" w:sz="4" w:space="0" w:color="000000"/>
            </w:tcBorders>
            <w:shd w:val="clear" w:color="auto" w:fill="auto"/>
            <w:noWrap/>
            <w:vAlign w:val="bottom"/>
          </w:tcPr>
          <w:p w:rsidR="00687DF5"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1.804.758,45</w:t>
            </w:r>
          </w:p>
        </w:tc>
        <w:tc>
          <w:tcPr>
            <w:tcW w:w="852" w:type="dxa"/>
            <w:tcBorders>
              <w:top w:val="nil"/>
              <w:left w:val="nil"/>
              <w:bottom w:val="single" w:sz="4" w:space="0" w:color="auto"/>
              <w:right w:val="single" w:sz="4" w:space="0" w:color="auto"/>
            </w:tcBorders>
            <w:shd w:val="clear" w:color="auto" w:fill="auto"/>
            <w:noWrap/>
            <w:vAlign w:val="bottom"/>
          </w:tcPr>
          <w:p w:rsidR="00687DF5" w:rsidRPr="009E5F95" w:rsidRDefault="00B80A3C" w:rsidP="009439AB">
            <w:pPr>
              <w:spacing w:after="0" w:line="240" w:lineRule="auto"/>
              <w:jc w:val="right"/>
              <w:rPr>
                <w:rFonts w:eastAsia="Times New Roman" w:cs="Arial"/>
                <w:color w:val="00B050"/>
                <w:sz w:val="16"/>
                <w:szCs w:val="16"/>
                <w:lang w:eastAsia="de-DE"/>
              </w:rPr>
            </w:pPr>
            <w:r w:rsidRPr="009E5F95">
              <w:rPr>
                <w:rFonts w:eastAsia="Times New Roman" w:cs="Arial"/>
                <w:color w:val="00B050"/>
                <w:sz w:val="16"/>
                <w:szCs w:val="16"/>
                <w:lang w:eastAsia="de-DE"/>
              </w:rPr>
              <w:t>334.215</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687DF5"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657.154,05</w:t>
            </w:r>
          </w:p>
        </w:tc>
        <w:tc>
          <w:tcPr>
            <w:tcW w:w="852" w:type="dxa"/>
            <w:tcBorders>
              <w:top w:val="nil"/>
              <w:left w:val="nil"/>
              <w:bottom w:val="single" w:sz="4" w:space="0" w:color="auto"/>
              <w:right w:val="single" w:sz="4" w:space="0" w:color="auto"/>
            </w:tcBorders>
            <w:shd w:val="clear" w:color="auto" w:fill="auto"/>
            <w:noWrap/>
            <w:vAlign w:val="bottom"/>
          </w:tcPr>
          <w:p w:rsidR="00687DF5" w:rsidRPr="00881627" w:rsidRDefault="009E5F95" w:rsidP="009439AB">
            <w:pPr>
              <w:spacing w:after="0" w:line="240" w:lineRule="auto"/>
              <w:jc w:val="right"/>
              <w:rPr>
                <w:rFonts w:eastAsia="Times New Roman" w:cs="Arial"/>
                <w:sz w:val="16"/>
                <w:szCs w:val="16"/>
                <w:lang w:eastAsia="de-DE"/>
              </w:rPr>
            </w:pPr>
            <w:r w:rsidRPr="00881627">
              <w:rPr>
                <w:rFonts w:eastAsia="Times New Roman" w:cs="Arial"/>
                <w:color w:val="00B050"/>
                <w:sz w:val="16"/>
                <w:szCs w:val="16"/>
                <w:lang w:eastAsia="de-DE"/>
              </w:rPr>
              <w:t>121.695</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687DF5"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717.972,50</w:t>
            </w:r>
          </w:p>
        </w:tc>
        <w:tc>
          <w:tcPr>
            <w:tcW w:w="900" w:type="dxa"/>
            <w:tcBorders>
              <w:top w:val="nil"/>
              <w:left w:val="nil"/>
              <w:bottom w:val="single" w:sz="4" w:space="0" w:color="auto"/>
              <w:right w:val="single" w:sz="4" w:space="0" w:color="auto"/>
            </w:tcBorders>
            <w:shd w:val="clear" w:color="auto" w:fill="auto"/>
            <w:noWrap/>
            <w:vAlign w:val="bottom"/>
          </w:tcPr>
          <w:p w:rsidR="00687DF5" w:rsidRPr="00C0610E" w:rsidRDefault="008813E0"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132.958</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JL - Jerichower Land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4,2</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3.500.283,28</w:t>
            </w:r>
          </w:p>
        </w:tc>
        <w:tc>
          <w:tcPr>
            <w:tcW w:w="852" w:type="dxa"/>
            <w:tcBorders>
              <w:top w:val="nil"/>
              <w:left w:val="nil"/>
              <w:bottom w:val="single" w:sz="4" w:space="0" w:color="auto"/>
              <w:right w:val="single" w:sz="4" w:space="0" w:color="auto"/>
            </w:tcBorders>
            <w:shd w:val="clear" w:color="auto" w:fill="auto"/>
            <w:noWrap/>
            <w:vAlign w:val="bottom"/>
            <w:hideMark/>
          </w:tcPr>
          <w:p w:rsidR="009439AB" w:rsidRPr="009E5F95" w:rsidRDefault="00B80A3C" w:rsidP="009439AB">
            <w:pPr>
              <w:spacing w:after="0" w:line="240" w:lineRule="auto"/>
              <w:jc w:val="right"/>
              <w:rPr>
                <w:rFonts w:eastAsia="Times New Roman" w:cs="Arial"/>
                <w:color w:val="00B050"/>
                <w:sz w:val="16"/>
                <w:szCs w:val="16"/>
                <w:lang w:eastAsia="de-DE"/>
              </w:rPr>
            </w:pPr>
            <w:r w:rsidRPr="009E5F95">
              <w:rPr>
                <w:rFonts w:eastAsia="Times New Roman" w:cs="Arial"/>
                <w:color w:val="00B050"/>
                <w:sz w:val="16"/>
                <w:szCs w:val="16"/>
                <w:lang w:eastAsia="de-DE"/>
              </w:rPr>
              <w:t>833.401</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2.785.177,35</w:t>
            </w:r>
          </w:p>
        </w:tc>
        <w:tc>
          <w:tcPr>
            <w:tcW w:w="852" w:type="dxa"/>
            <w:tcBorders>
              <w:top w:val="nil"/>
              <w:left w:val="nil"/>
              <w:bottom w:val="single" w:sz="4" w:space="0" w:color="auto"/>
              <w:right w:val="single" w:sz="4" w:space="0" w:color="auto"/>
            </w:tcBorders>
            <w:shd w:val="clear" w:color="auto" w:fill="auto"/>
            <w:noWrap/>
            <w:vAlign w:val="bottom"/>
          </w:tcPr>
          <w:p w:rsidR="009439AB" w:rsidRPr="00881627" w:rsidRDefault="00881627" w:rsidP="009439AB">
            <w:pPr>
              <w:spacing w:after="0" w:line="240" w:lineRule="auto"/>
              <w:jc w:val="right"/>
              <w:rPr>
                <w:rFonts w:eastAsia="Times New Roman" w:cs="Arial"/>
                <w:sz w:val="16"/>
                <w:szCs w:val="16"/>
                <w:lang w:eastAsia="de-DE"/>
              </w:rPr>
            </w:pPr>
            <w:r w:rsidRPr="00881627">
              <w:rPr>
                <w:rFonts w:eastAsia="Times New Roman" w:cs="Arial"/>
                <w:sz w:val="16"/>
                <w:szCs w:val="16"/>
                <w:lang w:eastAsia="de-DE"/>
              </w:rPr>
              <w:t>663.137</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1.283.290,62</w:t>
            </w:r>
          </w:p>
        </w:tc>
        <w:tc>
          <w:tcPr>
            <w:tcW w:w="900" w:type="dxa"/>
            <w:tcBorders>
              <w:top w:val="nil"/>
              <w:left w:val="nil"/>
              <w:bottom w:val="single" w:sz="4" w:space="0" w:color="auto"/>
              <w:right w:val="single" w:sz="4" w:space="0" w:color="auto"/>
            </w:tcBorders>
            <w:shd w:val="clear" w:color="auto" w:fill="auto"/>
            <w:noWrap/>
            <w:vAlign w:val="bottom"/>
          </w:tcPr>
          <w:p w:rsidR="009439AB" w:rsidRPr="00C0610E" w:rsidRDefault="00C811E8"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305.545</w:t>
            </w:r>
          </w:p>
        </w:tc>
      </w:tr>
      <w:tr w:rsidR="00687DF5"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DF5" w:rsidRPr="00405144" w:rsidRDefault="00687DF5" w:rsidP="009439AB">
            <w:pPr>
              <w:spacing w:after="0" w:line="240" w:lineRule="auto"/>
              <w:rPr>
                <w:rFonts w:eastAsia="Times New Roman" w:cs="Arial"/>
                <w:color w:val="000000"/>
                <w:sz w:val="16"/>
                <w:szCs w:val="16"/>
                <w:lang w:eastAsia="de-DE"/>
              </w:rPr>
            </w:pPr>
            <w:r>
              <w:rPr>
                <w:rFonts w:eastAsia="Times New Roman" w:cs="Arial"/>
                <w:color w:val="000000"/>
                <w:sz w:val="16"/>
                <w:szCs w:val="16"/>
                <w:lang w:eastAsia="de-DE"/>
              </w:rPr>
              <w:t>MD - Magdeburg</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7DF5"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10,8</w:t>
            </w:r>
          </w:p>
        </w:tc>
        <w:tc>
          <w:tcPr>
            <w:tcW w:w="1276" w:type="dxa"/>
            <w:tcBorders>
              <w:top w:val="single" w:sz="4" w:space="0" w:color="auto"/>
              <w:left w:val="nil"/>
              <w:bottom w:val="single" w:sz="4" w:space="0" w:color="auto"/>
              <w:right w:val="single" w:sz="4" w:space="0" w:color="000000"/>
            </w:tcBorders>
            <w:shd w:val="clear" w:color="auto" w:fill="auto"/>
            <w:noWrap/>
            <w:vAlign w:val="bottom"/>
          </w:tcPr>
          <w:p w:rsidR="00687DF5"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14.404.784,44</w:t>
            </w:r>
          </w:p>
        </w:tc>
        <w:tc>
          <w:tcPr>
            <w:tcW w:w="852" w:type="dxa"/>
            <w:tcBorders>
              <w:top w:val="nil"/>
              <w:left w:val="nil"/>
              <w:bottom w:val="single" w:sz="4" w:space="0" w:color="auto"/>
              <w:right w:val="single" w:sz="4" w:space="0" w:color="auto"/>
            </w:tcBorders>
            <w:shd w:val="clear" w:color="auto" w:fill="auto"/>
            <w:noWrap/>
            <w:vAlign w:val="bottom"/>
          </w:tcPr>
          <w:p w:rsidR="00687DF5" w:rsidRPr="009E5F95" w:rsidRDefault="00F51F15" w:rsidP="009439AB">
            <w:pPr>
              <w:spacing w:after="0" w:line="240" w:lineRule="auto"/>
              <w:jc w:val="right"/>
              <w:rPr>
                <w:rFonts w:eastAsia="Times New Roman" w:cs="Arial"/>
                <w:sz w:val="16"/>
                <w:szCs w:val="16"/>
                <w:lang w:eastAsia="de-DE"/>
              </w:rPr>
            </w:pPr>
            <w:r w:rsidRPr="009E5F95">
              <w:rPr>
                <w:rFonts w:eastAsia="Times New Roman" w:cs="Arial"/>
                <w:sz w:val="16"/>
                <w:szCs w:val="16"/>
                <w:lang w:eastAsia="de-DE"/>
              </w:rPr>
              <w:t>1.333.776</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687DF5"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9.928.435,27</w:t>
            </w:r>
          </w:p>
        </w:tc>
        <w:tc>
          <w:tcPr>
            <w:tcW w:w="852" w:type="dxa"/>
            <w:tcBorders>
              <w:top w:val="nil"/>
              <w:left w:val="nil"/>
              <w:bottom w:val="single" w:sz="4" w:space="0" w:color="auto"/>
              <w:right w:val="single" w:sz="4" w:space="0" w:color="auto"/>
            </w:tcBorders>
            <w:shd w:val="clear" w:color="auto" w:fill="auto"/>
            <w:noWrap/>
            <w:vAlign w:val="bottom"/>
          </w:tcPr>
          <w:p w:rsidR="00687DF5" w:rsidRPr="00881627" w:rsidRDefault="00881627" w:rsidP="009439AB">
            <w:pPr>
              <w:spacing w:after="0" w:line="240" w:lineRule="auto"/>
              <w:jc w:val="right"/>
              <w:rPr>
                <w:rFonts w:eastAsia="Times New Roman" w:cs="Arial"/>
                <w:sz w:val="16"/>
                <w:szCs w:val="16"/>
                <w:lang w:eastAsia="de-DE"/>
              </w:rPr>
            </w:pPr>
            <w:r w:rsidRPr="00881627">
              <w:rPr>
                <w:rFonts w:eastAsia="Times New Roman" w:cs="Arial"/>
                <w:sz w:val="16"/>
                <w:szCs w:val="16"/>
                <w:lang w:eastAsia="de-DE"/>
              </w:rPr>
              <w:t>919.300</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687DF5"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2.380.194,64</w:t>
            </w:r>
          </w:p>
        </w:tc>
        <w:tc>
          <w:tcPr>
            <w:tcW w:w="900" w:type="dxa"/>
            <w:tcBorders>
              <w:top w:val="nil"/>
              <w:left w:val="nil"/>
              <w:bottom w:val="single" w:sz="4" w:space="0" w:color="auto"/>
              <w:right w:val="single" w:sz="4" w:space="0" w:color="auto"/>
            </w:tcBorders>
            <w:shd w:val="clear" w:color="auto" w:fill="auto"/>
            <w:noWrap/>
            <w:vAlign w:val="bottom"/>
          </w:tcPr>
          <w:p w:rsidR="00687DF5" w:rsidRPr="00C0610E" w:rsidRDefault="00C811E8"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220.388</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DF5"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MSH - Mansfeld-Südharz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6,9</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5.838.246,26</w:t>
            </w:r>
          </w:p>
        </w:tc>
        <w:tc>
          <w:tcPr>
            <w:tcW w:w="852" w:type="dxa"/>
            <w:tcBorders>
              <w:top w:val="nil"/>
              <w:left w:val="nil"/>
              <w:bottom w:val="single" w:sz="4" w:space="0" w:color="auto"/>
              <w:right w:val="single" w:sz="4" w:space="0" w:color="auto"/>
            </w:tcBorders>
            <w:shd w:val="clear" w:color="auto" w:fill="auto"/>
            <w:noWrap/>
            <w:vAlign w:val="bottom"/>
            <w:hideMark/>
          </w:tcPr>
          <w:p w:rsidR="009439AB" w:rsidRPr="009E5F95" w:rsidRDefault="00B80A3C" w:rsidP="009439AB">
            <w:pPr>
              <w:spacing w:after="0" w:line="240" w:lineRule="auto"/>
              <w:jc w:val="right"/>
              <w:rPr>
                <w:rFonts w:eastAsia="Times New Roman" w:cs="Arial"/>
                <w:sz w:val="16"/>
                <w:szCs w:val="16"/>
                <w:lang w:eastAsia="de-DE"/>
              </w:rPr>
            </w:pPr>
            <w:r w:rsidRPr="009E5F95">
              <w:rPr>
                <w:rFonts w:eastAsia="Times New Roman" w:cs="Arial"/>
                <w:color w:val="00B050"/>
                <w:sz w:val="16"/>
                <w:szCs w:val="16"/>
                <w:lang w:eastAsia="de-DE"/>
              </w:rPr>
              <w:t>846.123</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6.288.795,39</w:t>
            </w:r>
          </w:p>
        </w:tc>
        <w:tc>
          <w:tcPr>
            <w:tcW w:w="852" w:type="dxa"/>
            <w:tcBorders>
              <w:top w:val="nil"/>
              <w:left w:val="nil"/>
              <w:bottom w:val="single" w:sz="4" w:space="0" w:color="auto"/>
              <w:right w:val="single" w:sz="4" w:space="0" w:color="auto"/>
            </w:tcBorders>
            <w:shd w:val="clear" w:color="auto" w:fill="auto"/>
            <w:noWrap/>
            <w:vAlign w:val="bottom"/>
          </w:tcPr>
          <w:p w:rsidR="009439AB" w:rsidRPr="00881627" w:rsidRDefault="00881627" w:rsidP="009439AB">
            <w:pPr>
              <w:spacing w:after="0" w:line="240" w:lineRule="auto"/>
              <w:jc w:val="right"/>
              <w:rPr>
                <w:rFonts w:eastAsia="Times New Roman" w:cs="Arial"/>
                <w:sz w:val="16"/>
                <w:szCs w:val="16"/>
                <w:lang w:eastAsia="de-DE"/>
              </w:rPr>
            </w:pPr>
            <w:r w:rsidRPr="00881627">
              <w:rPr>
                <w:rFonts w:eastAsia="Times New Roman" w:cs="Arial"/>
                <w:sz w:val="16"/>
                <w:szCs w:val="16"/>
                <w:lang w:eastAsia="de-DE"/>
              </w:rPr>
              <w:t>911.420</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1.629.338,11</w:t>
            </w:r>
          </w:p>
        </w:tc>
        <w:tc>
          <w:tcPr>
            <w:tcW w:w="900" w:type="dxa"/>
            <w:tcBorders>
              <w:top w:val="nil"/>
              <w:left w:val="nil"/>
              <w:bottom w:val="single" w:sz="4" w:space="0" w:color="auto"/>
              <w:right w:val="single" w:sz="4" w:space="0" w:color="auto"/>
            </w:tcBorders>
            <w:shd w:val="clear" w:color="auto" w:fill="auto"/>
            <w:noWrap/>
            <w:vAlign w:val="bottom"/>
          </w:tcPr>
          <w:p w:rsidR="009439AB" w:rsidRPr="00C0610E" w:rsidRDefault="00C811E8"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236.136</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SK - Saalekreis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9,0</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11.168.426,95</w:t>
            </w:r>
          </w:p>
        </w:tc>
        <w:tc>
          <w:tcPr>
            <w:tcW w:w="852" w:type="dxa"/>
            <w:tcBorders>
              <w:top w:val="nil"/>
              <w:left w:val="nil"/>
              <w:bottom w:val="single" w:sz="4" w:space="0" w:color="auto"/>
              <w:right w:val="single" w:sz="4" w:space="0" w:color="auto"/>
            </w:tcBorders>
            <w:shd w:val="clear" w:color="auto" w:fill="auto"/>
            <w:noWrap/>
            <w:vAlign w:val="bottom"/>
            <w:hideMark/>
          </w:tcPr>
          <w:p w:rsidR="009439AB" w:rsidRPr="009E5F95" w:rsidRDefault="00B80A3C" w:rsidP="009439AB">
            <w:pPr>
              <w:spacing w:after="0" w:line="240" w:lineRule="auto"/>
              <w:jc w:val="right"/>
              <w:rPr>
                <w:rFonts w:eastAsia="Times New Roman" w:cs="Arial"/>
                <w:sz w:val="16"/>
                <w:szCs w:val="16"/>
                <w:lang w:eastAsia="de-DE"/>
              </w:rPr>
            </w:pPr>
            <w:r w:rsidRPr="009E5F95">
              <w:rPr>
                <w:rFonts w:eastAsia="Times New Roman" w:cs="Arial"/>
                <w:sz w:val="16"/>
                <w:szCs w:val="16"/>
                <w:lang w:eastAsia="de-DE"/>
              </w:rPr>
              <w:t>1.240.936</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7.383.638,48</w:t>
            </w:r>
          </w:p>
        </w:tc>
        <w:tc>
          <w:tcPr>
            <w:tcW w:w="852" w:type="dxa"/>
            <w:tcBorders>
              <w:top w:val="nil"/>
              <w:left w:val="nil"/>
              <w:bottom w:val="single" w:sz="4" w:space="0" w:color="auto"/>
              <w:right w:val="single" w:sz="4" w:space="0" w:color="auto"/>
            </w:tcBorders>
            <w:shd w:val="clear" w:color="auto" w:fill="auto"/>
            <w:noWrap/>
            <w:vAlign w:val="bottom"/>
          </w:tcPr>
          <w:p w:rsidR="009439AB" w:rsidRPr="00881627" w:rsidRDefault="00881627" w:rsidP="009439AB">
            <w:pPr>
              <w:spacing w:after="0" w:line="240" w:lineRule="auto"/>
              <w:jc w:val="right"/>
              <w:rPr>
                <w:rFonts w:eastAsia="Times New Roman" w:cs="Arial"/>
                <w:color w:val="00B050"/>
                <w:sz w:val="16"/>
                <w:szCs w:val="16"/>
                <w:lang w:eastAsia="de-DE"/>
              </w:rPr>
            </w:pPr>
            <w:r w:rsidRPr="00881627">
              <w:rPr>
                <w:rFonts w:eastAsia="Times New Roman" w:cs="Arial"/>
                <w:color w:val="00B050"/>
                <w:sz w:val="16"/>
                <w:szCs w:val="16"/>
                <w:lang w:eastAsia="de-DE"/>
              </w:rPr>
              <w:t>820.404</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2C4621" w:rsidP="009439AB">
            <w:pPr>
              <w:spacing w:after="0" w:line="240" w:lineRule="auto"/>
              <w:jc w:val="center"/>
              <w:rPr>
                <w:rFonts w:eastAsia="Times New Roman" w:cs="Arial"/>
                <w:color w:val="000000"/>
                <w:sz w:val="16"/>
                <w:szCs w:val="16"/>
                <w:lang w:eastAsia="de-DE"/>
              </w:rPr>
            </w:pPr>
            <w:r w:rsidRPr="002C4621">
              <w:rPr>
                <w:rFonts w:eastAsia="Times New Roman" w:cs="Arial"/>
                <w:sz w:val="16"/>
                <w:szCs w:val="16"/>
                <w:lang w:eastAsia="de-DE"/>
              </w:rPr>
              <w:t>896.295,04</w:t>
            </w:r>
          </w:p>
        </w:tc>
        <w:tc>
          <w:tcPr>
            <w:tcW w:w="900" w:type="dxa"/>
            <w:tcBorders>
              <w:top w:val="nil"/>
              <w:left w:val="nil"/>
              <w:bottom w:val="single" w:sz="4" w:space="0" w:color="auto"/>
              <w:right w:val="single" w:sz="4" w:space="0" w:color="auto"/>
            </w:tcBorders>
            <w:shd w:val="clear" w:color="auto" w:fill="auto"/>
            <w:noWrap/>
            <w:vAlign w:val="bottom"/>
          </w:tcPr>
          <w:p w:rsidR="009439AB" w:rsidRPr="00C0610E" w:rsidRDefault="002C4621" w:rsidP="009439AB">
            <w:pPr>
              <w:spacing w:after="0" w:line="240" w:lineRule="auto"/>
              <w:jc w:val="right"/>
              <w:rPr>
                <w:rFonts w:eastAsia="Times New Roman" w:cs="Arial"/>
                <w:color w:val="00B050"/>
                <w:sz w:val="16"/>
                <w:szCs w:val="16"/>
                <w:lang w:eastAsia="de-DE"/>
              </w:rPr>
            </w:pPr>
            <w:r>
              <w:rPr>
                <w:rFonts w:eastAsia="Times New Roman" w:cs="Arial"/>
                <w:color w:val="00B050"/>
                <w:sz w:val="16"/>
                <w:szCs w:val="16"/>
                <w:lang w:eastAsia="de-DE"/>
              </w:rPr>
              <w:t>99.588</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SLK - Salzlandkreis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9,4</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10.531.915,79</w:t>
            </w:r>
          </w:p>
        </w:tc>
        <w:tc>
          <w:tcPr>
            <w:tcW w:w="852" w:type="dxa"/>
            <w:tcBorders>
              <w:top w:val="nil"/>
              <w:left w:val="nil"/>
              <w:bottom w:val="single" w:sz="4" w:space="0" w:color="auto"/>
              <w:right w:val="single" w:sz="4" w:space="0" w:color="auto"/>
            </w:tcBorders>
            <w:shd w:val="clear" w:color="auto" w:fill="auto"/>
            <w:noWrap/>
            <w:vAlign w:val="bottom"/>
            <w:hideMark/>
          </w:tcPr>
          <w:p w:rsidR="009439AB" w:rsidRPr="009E5F95" w:rsidRDefault="00F51F15" w:rsidP="00F51F15">
            <w:pPr>
              <w:spacing w:after="0" w:line="240" w:lineRule="auto"/>
              <w:jc w:val="right"/>
              <w:rPr>
                <w:rFonts w:eastAsia="Times New Roman" w:cs="Arial"/>
                <w:sz w:val="16"/>
                <w:szCs w:val="16"/>
                <w:lang w:eastAsia="de-DE"/>
              </w:rPr>
            </w:pPr>
            <w:r w:rsidRPr="009E5F95">
              <w:rPr>
                <w:rFonts w:eastAsia="Times New Roman" w:cs="Arial"/>
                <w:sz w:val="16"/>
                <w:szCs w:val="16"/>
                <w:lang w:eastAsia="de-DE"/>
              </w:rPr>
              <w:t>1.120.417</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8.357.714,14</w:t>
            </w:r>
          </w:p>
        </w:tc>
        <w:tc>
          <w:tcPr>
            <w:tcW w:w="852" w:type="dxa"/>
            <w:tcBorders>
              <w:top w:val="nil"/>
              <w:left w:val="nil"/>
              <w:bottom w:val="single" w:sz="4" w:space="0" w:color="auto"/>
              <w:right w:val="single" w:sz="4" w:space="0" w:color="auto"/>
            </w:tcBorders>
            <w:shd w:val="clear" w:color="auto" w:fill="auto"/>
            <w:noWrap/>
            <w:vAlign w:val="bottom"/>
          </w:tcPr>
          <w:p w:rsidR="009439AB" w:rsidRPr="00881627" w:rsidRDefault="00881627" w:rsidP="009439AB">
            <w:pPr>
              <w:spacing w:after="0" w:line="240" w:lineRule="auto"/>
              <w:jc w:val="right"/>
              <w:rPr>
                <w:rFonts w:eastAsia="Times New Roman" w:cs="Arial"/>
                <w:color w:val="00B050"/>
                <w:sz w:val="16"/>
                <w:szCs w:val="16"/>
                <w:lang w:eastAsia="de-DE"/>
              </w:rPr>
            </w:pPr>
            <w:r w:rsidRPr="00881627">
              <w:rPr>
                <w:rFonts w:eastAsia="Times New Roman" w:cs="Arial"/>
                <w:color w:val="00B050"/>
                <w:sz w:val="16"/>
                <w:szCs w:val="16"/>
                <w:lang w:eastAsia="de-DE"/>
              </w:rPr>
              <w:t>889.118</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1.685.267,28</w:t>
            </w:r>
          </w:p>
        </w:tc>
        <w:tc>
          <w:tcPr>
            <w:tcW w:w="900" w:type="dxa"/>
            <w:tcBorders>
              <w:top w:val="nil"/>
              <w:left w:val="nil"/>
              <w:bottom w:val="single" w:sz="4" w:space="0" w:color="auto"/>
              <w:right w:val="single" w:sz="4" w:space="0" w:color="auto"/>
            </w:tcBorders>
            <w:shd w:val="clear" w:color="auto" w:fill="auto"/>
            <w:noWrap/>
            <w:vAlign w:val="bottom"/>
          </w:tcPr>
          <w:p w:rsidR="009439AB" w:rsidRPr="00C0610E" w:rsidRDefault="00C811E8"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179.284</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SDL - Stendal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4,2</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4.454.877,29</w:t>
            </w:r>
          </w:p>
        </w:tc>
        <w:tc>
          <w:tcPr>
            <w:tcW w:w="852" w:type="dxa"/>
            <w:tcBorders>
              <w:top w:val="nil"/>
              <w:left w:val="nil"/>
              <w:bottom w:val="single" w:sz="4" w:space="0" w:color="auto"/>
              <w:right w:val="single" w:sz="4" w:space="0" w:color="auto"/>
            </w:tcBorders>
            <w:shd w:val="clear" w:color="auto" w:fill="auto"/>
            <w:noWrap/>
            <w:vAlign w:val="bottom"/>
            <w:hideMark/>
          </w:tcPr>
          <w:p w:rsidR="009439AB" w:rsidRPr="009E5F95" w:rsidRDefault="00B80A3C" w:rsidP="009439AB">
            <w:pPr>
              <w:spacing w:after="0" w:line="240" w:lineRule="auto"/>
              <w:jc w:val="right"/>
              <w:rPr>
                <w:rFonts w:eastAsia="Times New Roman" w:cs="Arial"/>
                <w:sz w:val="16"/>
                <w:szCs w:val="16"/>
                <w:lang w:eastAsia="de-DE"/>
              </w:rPr>
            </w:pPr>
            <w:r w:rsidRPr="009E5F95">
              <w:rPr>
                <w:rFonts w:eastAsia="Times New Roman" w:cs="Arial"/>
                <w:sz w:val="16"/>
                <w:szCs w:val="16"/>
                <w:lang w:eastAsia="de-DE"/>
              </w:rPr>
              <w:t>1.060.685</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4.766.800,49</w:t>
            </w:r>
          </w:p>
        </w:tc>
        <w:tc>
          <w:tcPr>
            <w:tcW w:w="852" w:type="dxa"/>
            <w:tcBorders>
              <w:top w:val="nil"/>
              <w:left w:val="nil"/>
              <w:bottom w:val="single" w:sz="4" w:space="0" w:color="auto"/>
              <w:right w:val="single" w:sz="4" w:space="0" w:color="auto"/>
            </w:tcBorders>
            <w:shd w:val="clear" w:color="auto" w:fill="auto"/>
            <w:noWrap/>
            <w:vAlign w:val="bottom"/>
          </w:tcPr>
          <w:p w:rsidR="009439AB" w:rsidRPr="00881627" w:rsidRDefault="00881627" w:rsidP="009439AB">
            <w:pPr>
              <w:spacing w:after="0" w:line="240" w:lineRule="auto"/>
              <w:jc w:val="right"/>
              <w:rPr>
                <w:rFonts w:eastAsia="Times New Roman" w:cs="Arial"/>
                <w:sz w:val="16"/>
                <w:szCs w:val="16"/>
                <w:lang w:eastAsia="de-DE"/>
              </w:rPr>
            </w:pPr>
            <w:r w:rsidRPr="00881627">
              <w:rPr>
                <w:rFonts w:eastAsia="Times New Roman" w:cs="Arial"/>
                <w:sz w:val="16"/>
                <w:szCs w:val="16"/>
                <w:lang w:eastAsia="de-DE"/>
              </w:rPr>
              <w:t>1.134.952</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1.537.487,83</w:t>
            </w:r>
          </w:p>
        </w:tc>
        <w:tc>
          <w:tcPr>
            <w:tcW w:w="900" w:type="dxa"/>
            <w:tcBorders>
              <w:top w:val="nil"/>
              <w:left w:val="nil"/>
              <w:bottom w:val="single" w:sz="4" w:space="0" w:color="auto"/>
              <w:right w:val="single" w:sz="4" w:space="0" w:color="auto"/>
            </w:tcBorders>
            <w:shd w:val="clear" w:color="auto" w:fill="auto"/>
            <w:noWrap/>
            <w:vAlign w:val="bottom"/>
          </w:tcPr>
          <w:p w:rsidR="009439AB" w:rsidRPr="00C0610E" w:rsidRDefault="00C811E8" w:rsidP="009439AB">
            <w:pPr>
              <w:spacing w:after="0" w:line="240" w:lineRule="auto"/>
              <w:jc w:val="right"/>
              <w:rPr>
                <w:rFonts w:eastAsia="Times New Roman" w:cs="Arial"/>
                <w:color w:val="00B050"/>
                <w:sz w:val="16"/>
                <w:szCs w:val="16"/>
                <w:lang w:eastAsia="de-DE"/>
              </w:rPr>
            </w:pPr>
            <w:r w:rsidRPr="00C0610E">
              <w:rPr>
                <w:rFonts w:eastAsia="Times New Roman" w:cs="Arial"/>
                <w:color w:val="00B050"/>
                <w:sz w:val="16"/>
                <w:szCs w:val="16"/>
                <w:lang w:eastAsia="de-DE"/>
              </w:rPr>
              <w:t>366.069</w:t>
            </w:r>
          </w:p>
        </w:tc>
      </w:tr>
      <w:tr w:rsidR="009439AB"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AB" w:rsidRPr="00405144" w:rsidRDefault="009439AB" w:rsidP="009439AB">
            <w:pPr>
              <w:spacing w:after="0" w:line="240" w:lineRule="auto"/>
              <w:rPr>
                <w:rFonts w:eastAsia="Times New Roman" w:cs="Arial"/>
                <w:color w:val="000000"/>
                <w:sz w:val="16"/>
                <w:szCs w:val="16"/>
                <w:lang w:eastAsia="de-DE"/>
              </w:rPr>
            </w:pPr>
            <w:r w:rsidRPr="00405144">
              <w:rPr>
                <w:rFonts w:eastAsia="Times New Roman" w:cs="Arial"/>
                <w:color w:val="000000"/>
                <w:sz w:val="16"/>
                <w:szCs w:val="16"/>
                <w:lang w:eastAsia="de-DE"/>
              </w:rPr>
              <w:t>WB - Wittenberg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9AB" w:rsidRPr="00405144" w:rsidRDefault="00687DF5"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6,3</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6.002.429,55</w:t>
            </w:r>
          </w:p>
        </w:tc>
        <w:tc>
          <w:tcPr>
            <w:tcW w:w="852" w:type="dxa"/>
            <w:tcBorders>
              <w:top w:val="nil"/>
              <w:left w:val="nil"/>
              <w:bottom w:val="nil"/>
              <w:right w:val="single" w:sz="4" w:space="0" w:color="auto"/>
            </w:tcBorders>
            <w:shd w:val="clear" w:color="auto" w:fill="auto"/>
            <w:noWrap/>
            <w:vAlign w:val="bottom"/>
            <w:hideMark/>
          </w:tcPr>
          <w:p w:rsidR="009439AB" w:rsidRPr="009E5F95" w:rsidRDefault="00B80A3C" w:rsidP="007909D1">
            <w:pPr>
              <w:spacing w:after="0" w:line="240" w:lineRule="auto"/>
              <w:jc w:val="right"/>
              <w:rPr>
                <w:rFonts w:eastAsia="Times New Roman" w:cs="Arial"/>
                <w:sz w:val="16"/>
                <w:szCs w:val="16"/>
                <w:lang w:eastAsia="de-DE"/>
              </w:rPr>
            </w:pPr>
            <w:r w:rsidRPr="00881627">
              <w:rPr>
                <w:rFonts w:eastAsia="Times New Roman" w:cs="Arial"/>
                <w:color w:val="00B050"/>
                <w:sz w:val="16"/>
                <w:szCs w:val="16"/>
                <w:lang w:eastAsia="de-DE"/>
              </w:rPr>
              <w:t>952.767</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9439AB"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5.187.994,80</w:t>
            </w:r>
          </w:p>
        </w:tc>
        <w:tc>
          <w:tcPr>
            <w:tcW w:w="852" w:type="dxa"/>
            <w:tcBorders>
              <w:top w:val="nil"/>
              <w:left w:val="nil"/>
              <w:bottom w:val="nil"/>
              <w:right w:val="single" w:sz="4" w:space="0" w:color="auto"/>
            </w:tcBorders>
            <w:shd w:val="clear" w:color="auto" w:fill="auto"/>
            <w:noWrap/>
            <w:vAlign w:val="bottom"/>
          </w:tcPr>
          <w:p w:rsidR="009439AB" w:rsidRPr="00881627" w:rsidRDefault="00881627" w:rsidP="009439AB">
            <w:pPr>
              <w:spacing w:after="0" w:line="240" w:lineRule="auto"/>
              <w:jc w:val="right"/>
              <w:rPr>
                <w:rFonts w:eastAsia="Times New Roman" w:cs="Arial"/>
                <w:sz w:val="16"/>
                <w:szCs w:val="16"/>
                <w:lang w:eastAsia="de-DE"/>
              </w:rPr>
            </w:pPr>
            <w:r w:rsidRPr="00881627">
              <w:rPr>
                <w:rFonts w:eastAsia="Times New Roman" w:cs="Arial"/>
                <w:color w:val="00B050"/>
                <w:sz w:val="16"/>
                <w:szCs w:val="16"/>
                <w:lang w:eastAsia="de-DE"/>
              </w:rPr>
              <w:t>823.491</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9439AB" w:rsidRPr="00405144" w:rsidRDefault="008C1F7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2.701.961,24</w:t>
            </w:r>
          </w:p>
        </w:tc>
        <w:tc>
          <w:tcPr>
            <w:tcW w:w="900" w:type="dxa"/>
            <w:tcBorders>
              <w:top w:val="nil"/>
              <w:left w:val="nil"/>
              <w:bottom w:val="nil"/>
              <w:right w:val="single" w:sz="4" w:space="0" w:color="auto"/>
            </w:tcBorders>
            <w:shd w:val="clear" w:color="auto" w:fill="auto"/>
            <w:noWrap/>
            <w:vAlign w:val="bottom"/>
          </w:tcPr>
          <w:p w:rsidR="009439AB" w:rsidRPr="008813E0" w:rsidRDefault="00C811E8" w:rsidP="009439AB">
            <w:pPr>
              <w:spacing w:after="0" w:line="240" w:lineRule="auto"/>
              <w:jc w:val="right"/>
              <w:rPr>
                <w:rFonts w:eastAsia="Times New Roman" w:cs="Arial"/>
                <w:sz w:val="16"/>
                <w:szCs w:val="16"/>
                <w:lang w:eastAsia="de-DE"/>
              </w:rPr>
            </w:pPr>
            <w:r w:rsidRPr="008813E0">
              <w:rPr>
                <w:rFonts w:eastAsia="Times New Roman" w:cs="Arial"/>
                <w:sz w:val="16"/>
                <w:szCs w:val="16"/>
                <w:lang w:eastAsia="de-DE"/>
              </w:rPr>
              <w:t>428.883</w:t>
            </w:r>
          </w:p>
        </w:tc>
      </w:tr>
      <w:tr w:rsidR="007E1702" w:rsidRPr="00405144" w:rsidTr="00B80A3C">
        <w:trPr>
          <w:trHeight w:val="225"/>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702" w:rsidRPr="00405144" w:rsidRDefault="00E62B25" w:rsidP="009439AB">
            <w:pPr>
              <w:spacing w:after="0" w:line="240" w:lineRule="auto"/>
              <w:rPr>
                <w:rFonts w:eastAsia="Times New Roman" w:cs="Arial"/>
                <w:color w:val="000000"/>
                <w:sz w:val="16"/>
                <w:szCs w:val="16"/>
                <w:lang w:eastAsia="de-DE"/>
              </w:rPr>
            </w:pPr>
            <w:r>
              <w:rPr>
                <w:rFonts w:eastAsia="Times New Roman" w:cs="Arial"/>
                <w:color w:val="000000"/>
                <w:sz w:val="16"/>
                <w:szCs w:val="16"/>
                <w:lang w:eastAsia="de-DE"/>
              </w:rPr>
              <w:t>Summe/Durchschnitt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E1702" w:rsidRDefault="007E1702" w:rsidP="009439AB">
            <w:pPr>
              <w:spacing w:after="0" w:line="240" w:lineRule="auto"/>
              <w:jc w:val="center"/>
              <w:rPr>
                <w:rFonts w:eastAsia="Times New Roman" w:cs="Arial"/>
                <w:color w:val="000000"/>
                <w:sz w:val="16"/>
                <w:szCs w:val="16"/>
                <w:lang w:eastAsia="de-DE"/>
              </w:rPr>
            </w:pPr>
          </w:p>
        </w:tc>
        <w:tc>
          <w:tcPr>
            <w:tcW w:w="1276" w:type="dxa"/>
            <w:tcBorders>
              <w:top w:val="single" w:sz="4" w:space="0" w:color="auto"/>
              <w:left w:val="nil"/>
              <w:bottom w:val="single" w:sz="4" w:space="0" w:color="auto"/>
              <w:right w:val="single" w:sz="4" w:space="0" w:color="000000"/>
            </w:tcBorders>
            <w:shd w:val="clear" w:color="auto" w:fill="auto"/>
            <w:noWrap/>
            <w:vAlign w:val="bottom"/>
          </w:tcPr>
          <w:p w:rsidR="007E1702" w:rsidRPr="00613624" w:rsidRDefault="00613624" w:rsidP="00613624">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101.636.728,79</w:t>
            </w:r>
          </w:p>
        </w:tc>
        <w:tc>
          <w:tcPr>
            <w:tcW w:w="852" w:type="dxa"/>
            <w:tcBorders>
              <w:top w:val="nil"/>
              <w:left w:val="nil"/>
              <w:bottom w:val="single" w:sz="4" w:space="0" w:color="auto"/>
              <w:right w:val="single" w:sz="4" w:space="0" w:color="auto"/>
            </w:tcBorders>
            <w:shd w:val="clear" w:color="auto" w:fill="auto"/>
            <w:noWrap/>
            <w:vAlign w:val="bottom"/>
          </w:tcPr>
          <w:p w:rsidR="007E1702" w:rsidRPr="009E5F95" w:rsidRDefault="009E5F95" w:rsidP="007909D1">
            <w:pPr>
              <w:spacing w:after="0" w:line="240" w:lineRule="auto"/>
              <w:jc w:val="right"/>
              <w:rPr>
                <w:rFonts w:eastAsia="Times New Roman" w:cs="Arial"/>
                <w:sz w:val="16"/>
                <w:szCs w:val="16"/>
                <w:lang w:eastAsia="de-DE"/>
              </w:rPr>
            </w:pPr>
            <w:r w:rsidRPr="009E5F95">
              <w:rPr>
                <w:rFonts w:eastAsia="Times New Roman" w:cs="Arial"/>
                <w:sz w:val="16"/>
                <w:szCs w:val="16"/>
                <w:lang w:eastAsia="de-DE"/>
              </w:rPr>
              <w:t>968420</w:t>
            </w:r>
          </w:p>
        </w:tc>
        <w:tc>
          <w:tcPr>
            <w:tcW w:w="1275" w:type="dxa"/>
            <w:tcBorders>
              <w:top w:val="single" w:sz="4" w:space="0" w:color="auto"/>
              <w:left w:val="nil"/>
              <w:bottom w:val="single" w:sz="4" w:space="0" w:color="auto"/>
              <w:right w:val="single" w:sz="4" w:space="0" w:color="000000"/>
            </w:tcBorders>
            <w:shd w:val="clear" w:color="auto" w:fill="auto"/>
            <w:noWrap/>
            <w:vAlign w:val="bottom"/>
          </w:tcPr>
          <w:p w:rsidR="007E1702" w:rsidRPr="00613624" w:rsidRDefault="00613624" w:rsidP="009439AB">
            <w:pPr>
              <w:spacing w:after="0" w:line="240" w:lineRule="auto"/>
              <w:jc w:val="center"/>
              <w:rPr>
                <w:rFonts w:eastAsia="Times New Roman" w:cs="Arial"/>
                <w:sz w:val="16"/>
                <w:szCs w:val="16"/>
                <w:lang w:eastAsia="de-DE"/>
              </w:rPr>
            </w:pPr>
            <w:r w:rsidRPr="00613624">
              <w:rPr>
                <w:rFonts w:eastAsia="Times New Roman" w:cs="Arial"/>
                <w:sz w:val="16"/>
                <w:szCs w:val="16"/>
                <w:lang w:eastAsia="de-DE"/>
              </w:rPr>
              <w:t>94.418.059,12</w:t>
            </w:r>
          </w:p>
        </w:tc>
        <w:tc>
          <w:tcPr>
            <w:tcW w:w="852" w:type="dxa"/>
            <w:tcBorders>
              <w:top w:val="nil"/>
              <w:left w:val="nil"/>
              <w:bottom w:val="single" w:sz="4" w:space="0" w:color="auto"/>
              <w:right w:val="single" w:sz="4" w:space="0" w:color="auto"/>
            </w:tcBorders>
            <w:shd w:val="clear" w:color="auto" w:fill="auto"/>
            <w:noWrap/>
            <w:vAlign w:val="bottom"/>
          </w:tcPr>
          <w:p w:rsidR="007E1702" w:rsidRPr="00881627" w:rsidRDefault="00881627" w:rsidP="009439AB">
            <w:pPr>
              <w:spacing w:after="0" w:line="240" w:lineRule="auto"/>
              <w:jc w:val="right"/>
              <w:rPr>
                <w:rFonts w:eastAsia="Times New Roman" w:cs="Arial"/>
                <w:sz w:val="16"/>
                <w:szCs w:val="16"/>
                <w:lang w:eastAsia="de-DE"/>
              </w:rPr>
            </w:pPr>
            <w:r w:rsidRPr="00881627">
              <w:rPr>
                <w:rFonts w:eastAsia="Times New Roman" w:cs="Arial"/>
                <w:sz w:val="16"/>
                <w:szCs w:val="16"/>
                <w:lang w:eastAsia="de-DE"/>
              </w:rPr>
              <w:t>909.006</w:t>
            </w:r>
          </w:p>
        </w:tc>
        <w:tc>
          <w:tcPr>
            <w:tcW w:w="1164" w:type="dxa"/>
            <w:tcBorders>
              <w:top w:val="single" w:sz="4" w:space="0" w:color="auto"/>
              <w:left w:val="nil"/>
              <w:bottom w:val="single" w:sz="4" w:space="0" w:color="auto"/>
              <w:right w:val="single" w:sz="4" w:space="0" w:color="000000"/>
            </w:tcBorders>
            <w:shd w:val="clear" w:color="auto" w:fill="auto"/>
            <w:noWrap/>
            <w:vAlign w:val="bottom"/>
          </w:tcPr>
          <w:p w:rsidR="007E1702" w:rsidRDefault="002C4621" w:rsidP="009439AB">
            <w:pPr>
              <w:spacing w:after="0" w:line="240" w:lineRule="auto"/>
              <w:jc w:val="center"/>
              <w:rPr>
                <w:rFonts w:eastAsia="Times New Roman" w:cs="Arial"/>
                <w:color w:val="000000"/>
                <w:sz w:val="16"/>
                <w:szCs w:val="16"/>
                <w:lang w:eastAsia="de-DE"/>
              </w:rPr>
            </w:pPr>
            <w:r>
              <w:rPr>
                <w:rFonts w:eastAsia="Times New Roman" w:cs="Arial"/>
                <w:color w:val="000000"/>
                <w:sz w:val="16"/>
                <w:szCs w:val="16"/>
                <w:lang w:eastAsia="de-DE"/>
              </w:rPr>
              <w:t>21.964.949,51</w:t>
            </w:r>
          </w:p>
        </w:tc>
        <w:tc>
          <w:tcPr>
            <w:tcW w:w="900" w:type="dxa"/>
            <w:tcBorders>
              <w:top w:val="nil"/>
              <w:left w:val="nil"/>
              <w:bottom w:val="single" w:sz="4" w:space="0" w:color="auto"/>
              <w:right w:val="single" w:sz="4" w:space="0" w:color="auto"/>
            </w:tcBorders>
            <w:shd w:val="clear" w:color="auto" w:fill="auto"/>
            <w:noWrap/>
            <w:vAlign w:val="bottom"/>
          </w:tcPr>
          <w:p w:rsidR="007E1702" w:rsidRPr="008813E0" w:rsidRDefault="00613624" w:rsidP="009439AB">
            <w:pPr>
              <w:spacing w:after="0" w:line="240" w:lineRule="auto"/>
              <w:jc w:val="right"/>
              <w:rPr>
                <w:rFonts w:eastAsia="Times New Roman" w:cs="Arial"/>
                <w:sz w:val="16"/>
                <w:szCs w:val="16"/>
                <w:lang w:eastAsia="de-DE"/>
              </w:rPr>
            </w:pPr>
            <w:r>
              <w:rPr>
                <w:rFonts w:eastAsia="Times New Roman" w:cs="Arial"/>
                <w:sz w:val="16"/>
                <w:szCs w:val="16"/>
                <w:lang w:eastAsia="de-DE"/>
              </w:rPr>
              <w:t>231.038</w:t>
            </w:r>
          </w:p>
        </w:tc>
      </w:tr>
    </w:tbl>
    <w:p w:rsidR="008813E0" w:rsidRDefault="008813E0" w:rsidP="009439AB">
      <w:pPr>
        <w:spacing w:after="0" w:line="240" w:lineRule="auto"/>
        <w:jc w:val="both"/>
        <w:rPr>
          <w:sz w:val="24"/>
          <w:szCs w:val="24"/>
        </w:rPr>
      </w:pPr>
    </w:p>
    <w:p w:rsidR="009439AB" w:rsidRDefault="009439AB" w:rsidP="001322FC">
      <w:pPr>
        <w:spacing w:after="0"/>
        <w:jc w:val="both"/>
        <w:rPr>
          <w:sz w:val="24"/>
          <w:szCs w:val="24"/>
        </w:rPr>
      </w:pPr>
      <w:r w:rsidRPr="00B42DAF">
        <w:rPr>
          <w:sz w:val="24"/>
          <w:szCs w:val="24"/>
        </w:rPr>
        <w:t>Setzt man bspw. die Kosten der Unterbringung in das Verhältnis mit der Aufnahmequote, da</w:t>
      </w:r>
      <w:r w:rsidR="000C291A">
        <w:rPr>
          <w:sz w:val="24"/>
          <w:szCs w:val="24"/>
        </w:rPr>
        <w:t xml:space="preserve">nn liegt der Landkreis bei </w:t>
      </w:r>
      <w:r w:rsidRPr="00B42DAF">
        <w:rPr>
          <w:sz w:val="24"/>
          <w:szCs w:val="24"/>
        </w:rPr>
        <w:t xml:space="preserve">durchschnittlichen Kosten. </w:t>
      </w:r>
    </w:p>
    <w:p w:rsidR="009D3A09" w:rsidRDefault="009D3A09" w:rsidP="001322FC">
      <w:pPr>
        <w:spacing w:after="0"/>
        <w:jc w:val="both"/>
        <w:rPr>
          <w:sz w:val="24"/>
          <w:szCs w:val="24"/>
        </w:rPr>
      </w:pPr>
      <w:r>
        <w:rPr>
          <w:sz w:val="24"/>
          <w:szCs w:val="24"/>
        </w:rPr>
        <w:t xml:space="preserve">Auch bei der Betrachtung der reinen Kosten nach dem AsylbLG ist der </w:t>
      </w:r>
      <w:r w:rsidR="00FE6424">
        <w:rPr>
          <w:sz w:val="24"/>
          <w:szCs w:val="24"/>
        </w:rPr>
        <w:t>Landkreis</w:t>
      </w:r>
      <w:r>
        <w:rPr>
          <w:sz w:val="24"/>
          <w:szCs w:val="24"/>
        </w:rPr>
        <w:t xml:space="preserve"> als unterdurchschnittlich einzuordnen.</w:t>
      </w:r>
    </w:p>
    <w:p w:rsidR="006261BB" w:rsidRDefault="00FE6424" w:rsidP="001322FC">
      <w:pPr>
        <w:spacing w:after="0"/>
        <w:jc w:val="both"/>
        <w:rPr>
          <w:sz w:val="24"/>
          <w:szCs w:val="24"/>
        </w:rPr>
      </w:pPr>
      <w:r>
        <w:rPr>
          <w:sz w:val="24"/>
          <w:szCs w:val="24"/>
        </w:rPr>
        <w:t xml:space="preserve">Lediglich bei den Personalkosten liegt der Landkreis Wittenberg deutlich über dem Landesdurchschnitt. Dies ist wie oben dargestellt, auf den </w:t>
      </w:r>
      <w:r w:rsidR="00B20AE4">
        <w:rPr>
          <w:sz w:val="24"/>
          <w:szCs w:val="24"/>
        </w:rPr>
        <w:t xml:space="preserve">als </w:t>
      </w:r>
      <w:r>
        <w:rPr>
          <w:sz w:val="24"/>
          <w:szCs w:val="24"/>
        </w:rPr>
        <w:t xml:space="preserve">notwendig </w:t>
      </w:r>
      <w:r w:rsidR="00B20AE4">
        <w:rPr>
          <w:sz w:val="24"/>
          <w:szCs w:val="24"/>
        </w:rPr>
        <w:t xml:space="preserve">erachteten </w:t>
      </w:r>
      <w:r>
        <w:rPr>
          <w:sz w:val="24"/>
          <w:szCs w:val="24"/>
        </w:rPr>
        <w:t>Personalaufwuchs zurückzuführen und auch darauf, dass der Landkreis Wittenberg alle Aufgaben im Zusammenhang mit der Unterbringung und Betreuung von Flüchtlingen selbst durch eigenes tarifgebundenes Personal wahrnimmt</w:t>
      </w:r>
      <w:r w:rsidR="00186688">
        <w:rPr>
          <w:sz w:val="24"/>
          <w:szCs w:val="24"/>
        </w:rPr>
        <w:t xml:space="preserve">. </w:t>
      </w:r>
      <w:r w:rsidR="00754130">
        <w:rPr>
          <w:sz w:val="24"/>
          <w:szCs w:val="24"/>
        </w:rPr>
        <w:t xml:space="preserve">Der Personalaufwuchs erfolgte durch die befristete Einstellung zusätzlichen Personals. Das Auslaufen dieser Arbeitsverträge erfolgt ab Oktober 2017 bis Anfang 2018. Hierbei und bei der künftigen Personalbemessung sollte jedoch nicht nur der reine Bestand an nicht dauerhaft </w:t>
      </w:r>
      <w:r w:rsidR="00C74DD9">
        <w:rPr>
          <w:sz w:val="24"/>
          <w:szCs w:val="24"/>
        </w:rPr>
        <w:t>aufenthaltsb</w:t>
      </w:r>
      <w:r w:rsidR="00754130">
        <w:rPr>
          <w:sz w:val="24"/>
          <w:szCs w:val="24"/>
        </w:rPr>
        <w:t>e</w:t>
      </w:r>
      <w:r w:rsidR="00C74DD9">
        <w:rPr>
          <w:sz w:val="24"/>
          <w:szCs w:val="24"/>
        </w:rPr>
        <w:t>re</w:t>
      </w:r>
      <w:r w:rsidR="00754130">
        <w:rPr>
          <w:sz w:val="24"/>
          <w:szCs w:val="24"/>
        </w:rPr>
        <w:t xml:space="preserve">chtigten </w:t>
      </w:r>
      <w:r w:rsidR="00C74DD9">
        <w:rPr>
          <w:sz w:val="24"/>
          <w:szCs w:val="24"/>
        </w:rPr>
        <w:t>Ausländern</w:t>
      </w:r>
      <w:r w:rsidR="00754130">
        <w:rPr>
          <w:sz w:val="24"/>
          <w:szCs w:val="24"/>
        </w:rPr>
        <w:t xml:space="preserve"> und die zu erwartenden Zuweisungen </w:t>
      </w:r>
      <w:r w:rsidR="00C74DD9">
        <w:rPr>
          <w:sz w:val="24"/>
          <w:szCs w:val="24"/>
        </w:rPr>
        <w:t>betrachtet werden. Zu berücksichtigen ist,</w:t>
      </w:r>
      <w:r w:rsidR="00754130">
        <w:rPr>
          <w:sz w:val="24"/>
          <w:szCs w:val="24"/>
        </w:rPr>
        <w:t xml:space="preserve"> dass </w:t>
      </w:r>
      <w:r w:rsidR="00C74DD9">
        <w:rPr>
          <w:sz w:val="24"/>
          <w:szCs w:val="24"/>
        </w:rPr>
        <w:t xml:space="preserve">dem Landkreis </w:t>
      </w:r>
      <w:r w:rsidR="00754130">
        <w:rPr>
          <w:sz w:val="24"/>
          <w:szCs w:val="24"/>
        </w:rPr>
        <w:t xml:space="preserve">im Bereich der Wohnungsverwaltung eine Verkehrssicherungspflicht für den </w:t>
      </w:r>
      <w:r w:rsidR="00C74DD9">
        <w:rPr>
          <w:sz w:val="24"/>
          <w:szCs w:val="24"/>
        </w:rPr>
        <w:t xml:space="preserve">angemieteten Wohnraum </w:t>
      </w:r>
      <w:r w:rsidR="00754130">
        <w:rPr>
          <w:sz w:val="24"/>
          <w:szCs w:val="24"/>
        </w:rPr>
        <w:t>obliegt, weiterhin Umzüge zur Optimierung  der Belegung und Freilenkung kündbarer Wohnungen erfolgen</w:t>
      </w:r>
      <w:r w:rsidR="00C74DD9">
        <w:rPr>
          <w:sz w:val="24"/>
          <w:szCs w:val="24"/>
        </w:rPr>
        <w:t xml:space="preserve"> werden/müssen</w:t>
      </w:r>
      <w:r w:rsidR="00754130">
        <w:rPr>
          <w:sz w:val="24"/>
          <w:szCs w:val="24"/>
        </w:rPr>
        <w:t>, verursachte Schäden durch die Nutzer in Regress zu stellen und zu beseitigen</w:t>
      </w:r>
      <w:r w:rsidR="00B94DAC">
        <w:rPr>
          <w:sz w:val="24"/>
          <w:szCs w:val="24"/>
        </w:rPr>
        <w:t xml:space="preserve"> sind</w:t>
      </w:r>
      <w:r w:rsidR="00754130">
        <w:rPr>
          <w:sz w:val="24"/>
          <w:szCs w:val="24"/>
        </w:rPr>
        <w:t xml:space="preserve">. </w:t>
      </w:r>
      <w:r w:rsidR="00832786">
        <w:rPr>
          <w:sz w:val="24"/>
          <w:szCs w:val="24"/>
        </w:rPr>
        <w:t>Auch sind die Wohnungen bei Beendigung der Mietverträge in vertraglich geschuld</w:t>
      </w:r>
      <w:r w:rsidR="00993651">
        <w:rPr>
          <w:sz w:val="24"/>
          <w:szCs w:val="24"/>
        </w:rPr>
        <w:t>etem Zustand zurückzugeben. Weiterhin</w:t>
      </w:r>
      <w:r w:rsidR="00832786">
        <w:rPr>
          <w:sz w:val="24"/>
          <w:szCs w:val="24"/>
        </w:rPr>
        <w:t xml:space="preserve"> hat sich gezeigt, dass ein schonender Umgang </w:t>
      </w:r>
      <w:r w:rsidR="00C74DD9">
        <w:rPr>
          <w:sz w:val="24"/>
          <w:szCs w:val="24"/>
        </w:rPr>
        <w:t>der</w:t>
      </w:r>
      <w:r w:rsidR="00832786">
        <w:rPr>
          <w:sz w:val="24"/>
          <w:szCs w:val="24"/>
        </w:rPr>
        <w:t xml:space="preserve"> zur Verfügung gestellten Wohnung</w:t>
      </w:r>
      <w:r w:rsidR="00993651">
        <w:rPr>
          <w:sz w:val="24"/>
          <w:szCs w:val="24"/>
        </w:rPr>
        <w:t xml:space="preserve">en </w:t>
      </w:r>
      <w:r w:rsidR="00C74DD9">
        <w:rPr>
          <w:sz w:val="24"/>
          <w:szCs w:val="24"/>
        </w:rPr>
        <w:t>durch die Bewohner überwiegend nicht erfolgt. Die</w:t>
      </w:r>
      <w:r w:rsidR="00832786">
        <w:rPr>
          <w:sz w:val="24"/>
          <w:szCs w:val="24"/>
        </w:rPr>
        <w:t xml:space="preserve"> Wiederherrichtung </w:t>
      </w:r>
      <w:r w:rsidR="00C74DD9">
        <w:rPr>
          <w:sz w:val="24"/>
          <w:szCs w:val="24"/>
        </w:rPr>
        <w:t xml:space="preserve">dieser ist mit hohen Kosten verbunden, es müssen </w:t>
      </w:r>
      <w:r w:rsidR="00832786">
        <w:rPr>
          <w:sz w:val="24"/>
          <w:szCs w:val="24"/>
        </w:rPr>
        <w:t>notwendige Aufträge ausgelöst, überwac</w:t>
      </w:r>
      <w:r w:rsidR="006261BB">
        <w:rPr>
          <w:sz w:val="24"/>
          <w:szCs w:val="24"/>
        </w:rPr>
        <w:t>ht und abgerechnet werden</w:t>
      </w:r>
      <w:r w:rsidR="00832786">
        <w:rPr>
          <w:sz w:val="24"/>
          <w:szCs w:val="24"/>
        </w:rPr>
        <w:t xml:space="preserve">. </w:t>
      </w:r>
    </w:p>
    <w:p w:rsidR="006261BB" w:rsidRDefault="006261BB" w:rsidP="001322FC">
      <w:pPr>
        <w:spacing w:after="0"/>
        <w:jc w:val="both"/>
        <w:rPr>
          <w:sz w:val="24"/>
          <w:szCs w:val="24"/>
        </w:rPr>
      </w:pPr>
    </w:p>
    <w:p w:rsidR="00BA49AF" w:rsidRPr="002B473E" w:rsidRDefault="00754130" w:rsidP="001322FC">
      <w:pPr>
        <w:spacing w:after="0"/>
        <w:jc w:val="both"/>
        <w:rPr>
          <w:rFonts w:cs="Arial"/>
          <w:sz w:val="24"/>
          <w:szCs w:val="24"/>
        </w:rPr>
      </w:pPr>
      <w:r>
        <w:rPr>
          <w:sz w:val="24"/>
          <w:szCs w:val="24"/>
        </w:rPr>
        <w:t>Im Bereich der sozialen Betreuung steigt der Bedarf stetig. Viele Geflüchtete haben andere Erwartungen an ein Leben in Deutschland</w:t>
      </w:r>
      <w:r w:rsidR="006261BB">
        <w:rPr>
          <w:sz w:val="24"/>
          <w:szCs w:val="24"/>
        </w:rPr>
        <w:t>. Sie</w:t>
      </w:r>
      <w:r>
        <w:rPr>
          <w:sz w:val="24"/>
          <w:szCs w:val="24"/>
        </w:rPr>
        <w:t xml:space="preserve"> kommen nicht mit der hiesigen Lebensweise zurecht oder zeigen Verhaltensau</w:t>
      </w:r>
      <w:r w:rsidR="006261BB">
        <w:rPr>
          <w:sz w:val="24"/>
          <w:szCs w:val="24"/>
        </w:rPr>
        <w:t>ffälligkeiten als Spätfolgen der</w:t>
      </w:r>
      <w:r>
        <w:rPr>
          <w:sz w:val="24"/>
          <w:szCs w:val="24"/>
        </w:rPr>
        <w:t xml:space="preserve"> Flucht</w:t>
      </w:r>
      <w:r w:rsidR="006261BB">
        <w:rPr>
          <w:sz w:val="24"/>
          <w:szCs w:val="24"/>
        </w:rPr>
        <w:t xml:space="preserve">. Auch die Angst vor </w:t>
      </w:r>
      <w:r>
        <w:rPr>
          <w:sz w:val="24"/>
          <w:szCs w:val="24"/>
        </w:rPr>
        <w:t>Ablehnung ihres A</w:t>
      </w:r>
      <w:r w:rsidR="00832786">
        <w:rPr>
          <w:sz w:val="24"/>
          <w:szCs w:val="24"/>
        </w:rPr>
        <w:t xml:space="preserve">sylantrages und der </w:t>
      </w:r>
      <w:r w:rsidR="006261BB">
        <w:rPr>
          <w:sz w:val="24"/>
          <w:szCs w:val="24"/>
        </w:rPr>
        <w:t>damit verbundenen Abschiebung, macht es für die Betroffenen nicht einfacher</w:t>
      </w:r>
      <w:r w:rsidR="00832786">
        <w:rPr>
          <w:sz w:val="24"/>
          <w:szCs w:val="24"/>
        </w:rPr>
        <w:t>.</w:t>
      </w:r>
      <w:r w:rsidR="00BA49AF" w:rsidRPr="00BA49AF">
        <w:rPr>
          <w:rFonts w:cs="Arial"/>
          <w:sz w:val="24"/>
          <w:szCs w:val="24"/>
        </w:rPr>
        <w:t xml:space="preserve"> </w:t>
      </w:r>
      <w:r w:rsidR="00BA49AF" w:rsidRPr="002B473E">
        <w:rPr>
          <w:rFonts w:cs="Arial"/>
          <w:sz w:val="24"/>
          <w:szCs w:val="24"/>
        </w:rPr>
        <w:t>Hinsichtlich des Personalbestandes ist</w:t>
      </w:r>
      <w:r w:rsidR="00BA49AF">
        <w:rPr>
          <w:rFonts w:cs="Arial"/>
          <w:sz w:val="24"/>
          <w:szCs w:val="24"/>
        </w:rPr>
        <w:t xml:space="preserve"> zudem darauf hinzuweisen, dass dieser</w:t>
      </w:r>
      <w:r w:rsidR="00BA49AF" w:rsidRPr="002B473E">
        <w:rPr>
          <w:rFonts w:cs="Arial"/>
          <w:sz w:val="24"/>
          <w:szCs w:val="24"/>
        </w:rPr>
        <w:t xml:space="preserve"> nicht gänzlich nach vorgegebenen Betreuungs</w:t>
      </w:r>
      <w:r w:rsidR="006261BB">
        <w:rPr>
          <w:rFonts w:cs="Arial"/>
          <w:sz w:val="24"/>
          <w:szCs w:val="24"/>
        </w:rPr>
        <w:t>schlüsseln abgebaut werden kann. Beispielsweise lebt</w:t>
      </w:r>
      <w:r w:rsidR="00BA49AF" w:rsidRPr="002B473E">
        <w:rPr>
          <w:rFonts w:cs="Arial"/>
          <w:sz w:val="24"/>
          <w:szCs w:val="24"/>
        </w:rPr>
        <w:t xml:space="preserve"> ein Groß</w:t>
      </w:r>
      <w:r w:rsidR="00BA49AF">
        <w:rPr>
          <w:rFonts w:cs="Arial"/>
          <w:sz w:val="24"/>
          <w:szCs w:val="24"/>
        </w:rPr>
        <w:t xml:space="preserve">teil der </w:t>
      </w:r>
      <w:r w:rsidR="00BA49AF" w:rsidRPr="002B473E">
        <w:rPr>
          <w:rFonts w:cs="Arial"/>
          <w:sz w:val="24"/>
          <w:szCs w:val="24"/>
        </w:rPr>
        <w:t>nicht dauerhaft aufenthaltsberechtigte</w:t>
      </w:r>
      <w:r w:rsidR="00BA49AF">
        <w:rPr>
          <w:rFonts w:cs="Arial"/>
          <w:sz w:val="24"/>
          <w:szCs w:val="24"/>
        </w:rPr>
        <w:t>n</w:t>
      </w:r>
      <w:r w:rsidR="00BA49AF" w:rsidRPr="002B473E">
        <w:rPr>
          <w:rFonts w:cs="Arial"/>
          <w:sz w:val="24"/>
          <w:szCs w:val="24"/>
        </w:rPr>
        <w:t xml:space="preserve"> Ausländer </w:t>
      </w:r>
      <w:r w:rsidR="006261BB">
        <w:rPr>
          <w:rFonts w:cs="Arial"/>
          <w:sz w:val="24"/>
          <w:szCs w:val="24"/>
        </w:rPr>
        <w:t>sowie</w:t>
      </w:r>
      <w:r w:rsidR="00BA49AF">
        <w:rPr>
          <w:rFonts w:cs="Arial"/>
          <w:sz w:val="24"/>
          <w:szCs w:val="24"/>
        </w:rPr>
        <w:t xml:space="preserve"> auch </w:t>
      </w:r>
      <w:r w:rsidR="006261BB">
        <w:rPr>
          <w:rFonts w:cs="Arial"/>
          <w:sz w:val="24"/>
          <w:szCs w:val="24"/>
        </w:rPr>
        <w:t xml:space="preserve">der </w:t>
      </w:r>
      <w:r w:rsidR="00BA49AF">
        <w:rPr>
          <w:rFonts w:cs="Arial"/>
          <w:sz w:val="24"/>
          <w:szCs w:val="24"/>
        </w:rPr>
        <w:t xml:space="preserve">bereits anerkannte Flüchtlinge </w:t>
      </w:r>
      <w:r w:rsidR="00BA49AF" w:rsidRPr="002B473E">
        <w:rPr>
          <w:rFonts w:cs="Arial"/>
          <w:sz w:val="24"/>
          <w:szCs w:val="24"/>
        </w:rPr>
        <w:t>in Wohnungen, die im ga</w:t>
      </w:r>
      <w:r w:rsidR="00BA49AF">
        <w:rPr>
          <w:rFonts w:cs="Arial"/>
          <w:sz w:val="24"/>
          <w:szCs w:val="24"/>
        </w:rPr>
        <w:t>nzen Landkreis verteilt sind  (</w:t>
      </w:r>
      <w:r w:rsidR="00BA49AF" w:rsidRPr="002B473E">
        <w:rPr>
          <w:rFonts w:cs="Arial"/>
          <w:sz w:val="24"/>
          <w:szCs w:val="24"/>
        </w:rPr>
        <w:t>Flächenlandkreis -&gt; größere Fahrtstrecken).</w:t>
      </w:r>
    </w:p>
    <w:p w:rsidR="009439AB" w:rsidRPr="00B42DAF" w:rsidRDefault="009439AB" w:rsidP="009439AB">
      <w:pPr>
        <w:spacing w:after="0" w:line="240" w:lineRule="auto"/>
        <w:jc w:val="both"/>
        <w:rPr>
          <w:sz w:val="24"/>
          <w:szCs w:val="24"/>
        </w:rPr>
      </w:pPr>
    </w:p>
    <w:p w:rsidR="00B20AE4" w:rsidRPr="001322FC" w:rsidRDefault="00B20AE4" w:rsidP="001322FC">
      <w:pPr>
        <w:pStyle w:val="berschrift1"/>
        <w:spacing w:before="0" w:after="240"/>
      </w:pPr>
      <w:bookmarkStart w:id="4" w:name="_Toc487549778"/>
      <w:r w:rsidRPr="001322FC">
        <w:t>Maßnahmen zur Kostensenkung</w:t>
      </w:r>
      <w:bookmarkEnd w:id="4"/>
    </w:p>
    <w:p w:rsidR="00EE4594" w:rsidRDefault="00EE4594" w:rsidP="001322FC">
      <w:pPr>
        <w:jc w:val="both"/>
        <w:rPr>
          <w:sz w:val="24"/>
          <w:szCs w:val="24"/>
        </w:rPr>
      </w:pPr>
      <w:r w:rsidRPr="00EE4594">
        <w:rPr>
          <w:sz w:val="24"/>
          <w:szCs w:val="24"/>
        </w:rPr>
        <w:t xml:space="preserve">Auch wenn für das Jahr 2016 erkennbar ist, dass alle dem Landkreis Wittenberg entstandenen Kosten für die Unterbringung und Betreuung von Flüchtlingen </w:t>
      </w:r>
      <w:r>
        <w:rPr>
          <w:sz w:val="24"/>
          <w:szCs w:val="24"/>
        </w:rPr>
        <w:t>wie oben ausgeführt erstattet werden, muss für die Zukunft ein Weg gefunden werden, die Kosten so zu senken, dass die Fallpauschale auskömmlich ist.</w:t>
      </w:r>
    </w:p>
    <w:p w:rsidR="00734853" w:rsidRDefault="00EE4594" w:rsidP="001322FC">
      <w:pPr>
        <w:jc w:val="both"/>
        <w:rPr>
          <w:sz w:val="24"/>
          <w:szCs w:val="24"/>
        </w:rPr>
      </w:pPr>
      <w:r>
        <w:rPr>
          <w:sz w:val="24"/>
          <w:szCs w:val="24"/>
        </w:rPr>
        <w:t>Ein erster Schritt in diese Richtung war die Schließung des Übergangswohnheimes in Wittenberg</w:t>
      </w:r>
      <w:r w:rsidR="004732AC">
        <w:rPr>
          <w:sz w:val="24"/>
          <w:szCs w:val="24"/>
        </w:rPr>
        <w:t xml:space="preserve"> zum 01.02.2017</w:t>
      </w:r>
      <w:r>
        <w:rPr>
          <w:sz w:val="24"/>
          <w:szCs w:val="24"/>
        </w:rPr>
        <w:t xml:space="preserve">. </w:t>
      </w:r>
      <w:r w:rsidR="00993651">
        <w:rPr>
          <w:sz w:val="24"/>
          <w:szCs w:val="24"/>
        </w:rPr>
        <w:t>Dadurch</w:t>
      </w:r>
      <w:r>
        <w:rPr>
          <w:sz w:val="24"/>
          <w:szCs w:val="24"/>
        </w:rPr>
        <w:t xml:space="preserve"> entfallen nicht nur die Unterhaltungs- und Verbrauchskosten, sondern auch die zusätzlichen Aufwendungen für das Catering. </w:t>
      </w:r>
    </w:p>
    <w:p w:rsidR="00370335" w:rsidRDefault="00370335" w:rsidP="001322FC">
      <w:pPr>
        <w:jc w:val="both"/>
        <w:rPr>
          <w:sz w:val="24"/>
          <w:szCs w:val="24"/>
        </w:rPr>
      </w:pPr>
      <w:r>
        <w:rPr>
          <w:sz w:val="24"/>
          <w:szCs w:val="24"/>
        </w:rPr>
        <w:t>Weiterhin wurden mit der neuen Eigentüm</w:t>
      </w:r>
      <w:r w:rsidR="00734853">
        <w:rPr>
          <w:sz w:val="24"/>
          <w:szCs w:val="24"/>
        </w:rPr>
        <w:t xml:space="preserve">erin der Liegenschaft in Jessen (Elster) </w:t>
      </w:r>
      <w:r>
        <w:rPr>
          <w:sz w:val="24"/>
          <w:szCs w:val="24"/>
        </w:rPr>
        <w:t>OT Holzdorf vor dem Hintergrund der deutlich zurückgegangenen Zuweisungen Gespräche geführt, um eine Änderung des Mietvertrages dahingehend zu bewirken, dass nicht alle der 80 Wohnungen abgenommen werden müssen. Ein Rechtsanspruch auf Vertragsanpassung besteht jedoch nicht. Demgemäß ließ sich die neue Eigentümerin auch nicht auf eine geringere Anzahl zu übernehmender und zu bezahlender Wohnungen ein. Allerdings war sie bereit, dem Landkreis insoweit entgegenzukommen, dass für die Beendigung des Mietvertrages ein einheitlicher Zeitpunkt für alle Wohnungen gelten soll und nicht wie vertraglich vereinbart, eine Laufzeit von 5 Jahren ab Übergabe.</w:t>
      </w:r>
      <w:r w:rsidR="008B301C">
        <w:rPr>
          <w:sz w:val="24"/>
          <w:szCs w:val="24"/>
        </w:rPr>
        <w:t xml:space="preserve"> Damit können alle Wohnungen in</w:t>
      </w:r>
      <w:r w:rsidR="00734853">
        <w:rPr>
          <w:sz w:val="24"/>
          <w:szCs w:val="24"/>
        </w:rPr>
        <w:t xml:space="preserve"> Jessen (Elster) OT</w:t>
      </w:r>
      <w:r w:rsidR="008B301C">
        <w:rPr>
          <w:sz w:val="24"/>
          <w:szCs w:val="24"/>
        </w:rPr>
        <w:t xml:space="preserve"> Holzdorf zum 31</w:t>
      </w:r>
      <w:r w:rsidR="00734853">
        <w:rPr>
          <w:sz w:val="24"/>
          <w:szCs w:val="24"/>
        </w:rPr>
        <w:t>.12.2020 gekündigt we</w:t>
      </w:r>
      <w:r w:rsidR="0054493C">
        <w:rPr>
          <w:sz w:val="24"/>
          <w:szCs w:val="24"/>
        </w:rPr>
        <w:t>rden. Daraus resultie</w:t>
      </w:r>
      <w:r w:rsidR="00734853">
        <w:rPr>
          <w:sz w:val="24"/>
          <w:szCs w:val="24"/>
        </w:rPr>
        <w:t xml:space="preserve">rend </w:t>
      </w:r>
      <w:r w:rsidR="008B301C">
        <w:rPr>
          <w:sz w:val="24"/>
          <w:szCs w:val="24"/>
        </w:rPr>
        <w:t>werden zwar kurzfristig keine Einsparungen erzielt, aber mittelfristig ca. 50.000 Euro</w:t>
      </w:r>
      <w:r w:rsidR="00734853">
        <w:rPr>
          <w:sz w:val="24"/>
          <w:szCs w:val="24"/>
        </w:rPr>
        <w:t xml:space="preserve"> im Vergleich zu dem ursprünglichen Vertrag</w:t>
      </w:r>
      <w:r w:rsidR="008B301C">
        <w:rPr>
          <w:sz w:val="24"/>
          <w:szCs w:val="24"/>
        </w:rPr>
        <w:t>.</w:t>
      </w:r>
    </w:p>
    <w:p w:rsidR="008B301C" w:rsidRDefault="008B301C" w:rsidP="001322FC">
      <w:pPr>
        <w:jc w:val="both"/>
        <w:rPr>
          <w:sz w:val="24"/>
          <w:szCs w:val="24"/>
        </w:rPr>
      </w:pPr>
      <w:r>
        <w:rPr>
          <w:sz w:val="24"/>
          <w:szCs w:val="24"/>
        </w:rPr>
        <w:t xml:space="preserve">Wie </w:t>
      </w:r>
      <w:r w:rsidR="00993651">
        <w:rPr>
          <w:sz w:val="24"/>
          <w:szCs w:val="24"/>
        </w:rPr>
        <w:t>bereits</w:t>
      </w:r>
      <w:r>
        <w:rPr>
          <w:sz w:val="24"/>
          <w:szCs w:val="24"/>
        </w:rPr>
        <w:t xml:space="preserve"> ausgeführt, wurden im Hinblick auf die Situation in Vockerode Gespräche mit dem Insolvenzverwalter bzw. der Sparkasse geführt, die letztlich aber keine Änderungen ergaben.</w:t>
      </w:r>
    </w:p>
    <w:p w:rsidR="000014E9" w:rsidRDefault="004732AC" w:rsidP="001322FC">
      <w:pPr>
        <w:jc w:val="both"/>
        <w:rPr>
          <w:sz w:val="24"/>
          <w:szCs w:val="24"/>
        </w:rPr>
      </w:pPr>
      <w:r>
        <w:rPr>
          <w:sz w:val="24"/>
          <w:szCs w:val="24"/>
        </w:rPr>
        <w:t>Mit der gesunkenen Anzahl der in Vockerode untergeb</w:t>
      </w:r>
      <w:r w:rsidR="00993651">
        <w:rPr>
          <w:sz w:val="24"/>
          <w:szCs w:val="24"/>
        </w:rPr>
        <w:t>rachten Personen,</w:t>
      </w:r>
      <w:r>
        <w:rPr>
          <w:sz w:val="24"/>
          <w:szCs w:val="24"/>
        </w:rPr>
        <w:t xml:space="preserve"> dem Umstand, dass Vorfälle, die ein Eingreifen des Sicherheitsdienstes erforderten ab dem 3. Quartal 2016 sich kaum noch ereigneten</w:t>
      </w:r>
      <w:r w:rsidR="00993651">
        <w:rPr>
          <w:sz w:val="24"/>
          <w:szCs w:val="24"/>
        </w:rPr>
        <w:t xml:space="preserve"> und den positiven Erfahrungen </w:t>
      </w:r>
      <w:r w:rsidR="00734853">
        <w:rPr>
          <w:sz w:val="24"/>
          <w:szCs w:val="24"/>
        </w:rPr>
        <w:t>in Jessen (Elster) OT</w:t>
      </w:r>
      <w:r w:rsidR="00993651">
        <w:rPr>
          <w:sz w:val="24"/>
          <w:szCs w:val="24"/>
        </w:rPr>
        <w:t xml:space="preserve"> Holzdorf</w:t>
      </w:r>
      <w:r>
        <w:rPr>
          <w:sz w:val="24"/>
          <w:szCs w:val="24"/>
        </w:rPr>
        <w:t>, wurde der Bewachungsvertrag dahingehend abgeändert, dass ab 07/2017 nur eine Bestreifung des Objektes</w:t>
      </w:r>
      <w:r w:rsidR="000014E9">
        <w:rPr>
          <w:sz w:val="24"/>
          <w:szCs w:val="24"/>
        </w:rPr>
        <w:t xml:space="preserve"> erfolgt. </w:t>
      </w:r>
      <w:r>
        <w:rPr>
          <w:sz w:val="24"/>
          <w:szCs w:val="24"/>
        </w:rPr>
        <w:t xml:space="preserve">Die monatliche Einsparung hierdurch beläuft sich auf </w:t>
      </w:r>
      <w:r w:rsidR="00C91D0B">
        <w:rPr>
          <w:sz w:val="24"/>
          <w:szCs w:val="24"/>
        </w:rPr>
        <w:t>ca. 6.200</w:t>
      </w:r>
      <w:r w:rsidR="000014E9">
        <w:rPr>
          <w:sz w:val="24"/>
          <w:szCs w:val="24"/>
        </w:rPr>
        <w:t xml:space="preserve"> </w:t>
      </w:r>
      <w:r>
        <w:rPr>
          <w:sz w:val="24"/>
          <w:szCs w:val="24"/>
        </w:rPr>
        <w:t xml:space="preserve">Euro. </w:t>
      </w:r>
    </w:p>
    <w:p w:rsidR="004732AC" w:rsidRDefault="004732AC" w:rsidP="001322FC">
      <w:pPr>
        <w:jc w:val="both"/>
        <w:rPr>
          <w:sz w:val="24"/>
          <w:szCs w:val="24"/>
        </w:rPr>
      </w:pPr>
      <w:r>
        <w:rPr>
          <w:sz w:val="24"/>
          <w:szCs w:val="24"/>
        </w:rPr>
        <w:t>Ähnlich wurde mit der Bewachung des Übergangswohnheimes in Coswig verfahren. Nach dem Mietvertrag</w:t>
      </w:r>
      <w:r w:rsidR="000014E9">
        <w:rPr>
          <w:sz w:val="24"/>
          <w:szCs w:val="24"/>
        </w:rPr>
        <w:t xml:space="preserve"> sind 2 zertifizierte Sicherheit</w:t>
      </w:r>
      <w:r w:rsidR="00922B24">
        <w:rPr>
          <w:sz w:val="24"/>
          <w:szCs w:val="24"/>
        </w:rPr>
        <w:t>s</w:t>
      </w:r>
      <w:r w:rsidR="000014E9">
        <w:rPr>
          <w:sz w:val="24"/>
          <w:szCs w:val="24"/>
        </w:rPr>
        <w:t xml:space="preserve">kräfte zu stellen. Da das Objekt nicht voll belegt ist und zudem keine Übergriffe von außen stattfanden, innerhalb des Objektes bestand/besteht </w:t>
      </w:r>
      <w:r>
        <w:rPr>
          <w:sz w:val="24"/>
          <w:szCs w:val="24"/>
        </w:rPr>
        <w:t xml:space="preserve"> </w:t>
      </w:r>
      <w:r w:rsidR="000014E9">
        <w:rPr>
          <w:sz w:val="24"/>
          <w:szCs w:val="24"/>
        </w:rPr>
        <w:t xml:space="preserve">jedoch Handlungsbedarf, wurde das Sicherheitspersonal auf einen Mitarbeiter reduziert. Der Vermieter hat dies zwar moniert, aber letztlich toleriert er es derzeit. Damit wird eine monatliche Einsparung von </w:t>
      </w:r>
      <w:r w:rsidR="00EB351C">
        <w:rPr>
          <w:sz w:val="24"/>
          <w:szCs w:val="24"/>
        </w:rPr>
        <w:t>ca. 15.000</w:t>
      </w:r>
      <w:r w:rsidR="000014E9">
        <w:rPr>
          <w:sz w:val="24"/>
          <w:szCs w:val="24"/>
        </w:rPr>
        <w:t xml:space="preserve"> Euro seit August 2016 erzielt.</w:t>
      </w:r>
    </w:p>
    <w:p w:rsidR="00B20AE4" w:rsidRPr="000014E9" w:rsidRDefault="00B20AE4" w:rsidP="001322FC">
      <w:pPr>
        <w:jc w:val="both"/>
        <w:rPr>
          <w:color w:val="000000" w:themeColor="text1"/>
          <w:sz w:val="24"/>
          <w:szCs w:val="24"/>
        </w:rPr>
      </w:pPr>
      <w:r w:rsidRPr="000014E9">
        <w:rPr>
          <w:sz w:val="24"/>
          <w:szCs w:val="24"/>
        </w:rPr>
        <w:t xml:space="preserve">Aufgrund der Verringerung der Zuweisungen wurden bereits im Jahr 2016 68 Wohnungen (317 Wohnplätze) </w:t>
      </w:r>
      <w:r w:rsidR="000014E9">
        <w:rPr>
          <w:sz w:val="24"/>
          <w:szCs w:val="24"/>
        </w:rPr>
        <w:t xml:space="preserve">im gesamten Kreisgebiet </w:t>
      </w:r>
      <w:r w:rsidRPr="000014E9">
        <w:rPr>
          <w:sz w:val="24"/>
          <w:szCs w:val="24"/>
        </w:rPr>
        <w:t xml:space="preserve">gekündigt. Das ergab eine Einsparung der Kosten (Miete, Energie) </w:t>
      </w:r>
      <w:r w:rsidRPr="000014E9">
        <w:rPr>
          <w:color w:val="000000" w:themeColor="text1"/>
          <w:sz w:val="24"/>
          <w:szCs w:val="24"/>
        </w:rPr>
        <w:t xml:space="preserve">von bis zu </w:t>
      </w:r>
      <w:r w:rsidRPr="000014E9">
        <w:rPr>
          <w:sz w:val="24"/>
          <w:szCs w:val="24"/>
        </w:rPr>
        <w:t xml:space="preserve">monatlich 33.100,72 </w:t>
      </w:r>
      <w:r w:rsidR="004B4F3D">
        <w:rPr>
          <w:color w:val="000000" w:themeColor="text1"/>
          <w:sz w:val="24"/>
          <w:szCs w:val="24"/>
        </w:rPr>
        <w:t>Euro</w:t>
      </w:r>
      <w:r w:rsidRPr="000014E9">
        <w:rPr>
          <w:color w:val="000000" w:themeColor="text1"/>
          <w:sz w:val="24"/>
          <w:szCs w:val="24"/>
        </w:rPr>
        <w:t xml:space="preserve"> je nach Kündigungsmonat. </w:t>
      </w:r>
    </w:p>
    <w:p w:rsidR="00B20AE4" w:rsidRPr="000014E9" w:rsidRDefault="00B20AE4" w:rsidP="001322FC">
      <w:pPr>
        <w:jc w:val="both"/>
        <w:rPr>
          <w:sz w:val="24"/>
          <w:szCs w:val="24"/>
        </w:rPr>
      </w:pPr>
      <w:r w:rsidRPr="000014E9">
        <w:rPr>
          <w:sz w:val="24"/>
          <w:szCs w:val="24"/>
        </w:rPr>
        <w:t>Im Jahr 2017 wurden</w:t>
      </w:r>
      <w:r w:rsidR="000014E9">
        <w:rPr>
          <w:sz w:val="24"/>
          <w:szCs w:val="24"/>
        </w:rPr>
        <w:t xml:space="preserve"> bereits</w:t>
      </w:r>
      <w:r w:rsidRPr="000014E9">
        <w:rPr>
          <w:sz w:val="24"/>
          <w:szCs w:val="24"/>
        </w:rPr>
        <w:t xml:space="preserve"> </w:t>
      </w:r>
      <w:r w:rsidR="000014E9">
        <w:rPr>
          <w:sz w:val="24"/>
          <w:szCs w:val="24"/>
        </w:rPr>
        <w:t xml:space="preserve">weitere </w:t>
      </w:r>
      <w:r w:rsidRPr="000014E9">
        <w:rPr>
          <w:sz w:val="24"/>
          <w:szCs w:val="24"/>
        </w:rPr>
        <w:t xml:space="preserve">94 Wohnungen / 510 Wohnplätze gekündigt. Die Einsparung der Kosten (Miete, Energie) wird sich auf monatlich </w:t>
      </w:r>
      <w:r w:rsidRPr="000014E9">
        <w:rPr>
          <w:color w:val="000000" w:themeColor="text1"/>
          <w:sz w:val="24"/>
          <w:szCs w:val="24"/>
        </w:rPr>
        <w:t xml:space="preserve">bis zu </w:t>
      </w:r>
      <w:r w:rsidR="004B4F3D">
        <w:rPr>
          <w:sz w:val="24"/>
          <w:szCs w:val="24"/>
        </w:rPr>
        <w:t>51.641,11 Euro</w:t>
      </w:r>
      <w:r w:rsidRPr="000014E9">
        <w:rPr>
          <w:sz w:val="24"/>
          <w:szCs w:val="24"/>
        </w:rPr>
        <w:t xml:space="preserve"> </w:t>
      </w:r>
      <w:r w:rsidRPr="000014E9">
        <w:rPr>
          <w:color w:val="000000" w:themeColor="text1"/>
          <w:sz w:val="24"/>
          <w:szCs w:val="24"/>
        </w:rPr>
        <w:t xml:space="preserve">je nach Kündigungsmonat </w:t>
      </w:r>
      <w:r w:rsidRPr="000014E9">
        <w:rPr>
          <w:sz w:val="24"/>
          <w:szCs w:val="24"/>
        </w:rPr>
        <w:t>belaufen.</w:t>
      </w:r>
    </w:p>
    <w:p w:rsidR="00B20AE4" w:rsidRDefault="00B20AE4" w:rsidP="001322FC">
      <w:pPr>
        <w:pStyle w:val="KeinLeerraum"/>
        <w:spacing w:line="276" w:lineRule="auto"/>
        <w:jc w:val="both"/>
        <w:rPr>
          <w:sz w:val="24"/>
          <w:szCs w:val="24"/>
        </w:rPr>
      </w:pPr>
      <w:r w:rsidRPr="000014E9">
        <w:rPr>
          <w:sz w:val="24"/>
          <w:szCs w:val="24"/>
        </w:rPr>
        <w:t>Die Belegung der Wohnungen wird ständig optimiert. Es werden verstärkt Wohnungen m</w:t>
      </w:r>
      <w:r w:rsidR="00C91D0B">
        <w:rPr>
          <w:sz w:val="24"/>
          <w:szCs w:val="24"/>
        </w:rPr>
        <w:t>it Zeitmietverträgen genutzt um dadurch unbefristete Mietverträge kündigen zu können</w:t>
      </w:r>
      <w:r w:rsidRPr="000014E9">
        <w:rPr>
          <w:sz w:val="24"/>
          <w:szCs w:val="24"/>
        </w:rPr>
        <w:t xml:space="preserve">. </w:t>
      </w:r>
    </w:p>
    <w:p w:rsidR="00C91D0B" w:rsidRDefault="00C91D0B" w:rsidP="001322FC">
      <w:pPr>
        <w:pStyle w:val="KeinLeerraum"/>
        <w:spacing w:line="276" w:lineRule="auto"/>
        <w:jc w:val="both"/>
        <w:rPr>
          <w:sz w:val="24"/>
          <w:szCs w:val="24"/>
        </w:rPr>
      </w:pPr>
    </w:p>
    <w:p w:rsidR="00734853" w:rsidRPr="00F27ED5" w:rsidRDefault="00C91D0B" w:rsidP="001322FC">
      <w:pPr>
        <w:pStyle w:val="KeinLeerraum"/>
        <w:spacing w:line="276" w:lineRule="auto"/>
        <w:jc w:val="both"/>
        <w:rPr>
          <w:sz w:val="24"/>
          <w:szCs w:val="24"/>
        </w:rPr>
      </w:pPr>
      <w:r>
        <w:rPr>
          <w:sz w:val="24"/>
          <w:szCs w:val="24"/>
        </w:rPr>
        <w:t>Aus nachfolgende</w:t>
      </w:r>
      <w:r w:rsidR="00EB351C">
        <w:rPr>
          <w:sz w:val="24"/>
          <w:szCs w:val="24"/>
        </w:rPr>
        <w:t>r</w:t>
      </w:r>
      <w:r>
        <w:rPr>
          <w:sz w:val="24"/>
          <w:szCs w:val="24"/>
        </w:rPr>
        <w:t xml:space="preserve"> Übersicht geht hervor, wie sich der Bestand an angemieteten Wohnungen entwickeln könnte unter der Maßgabe, dass der Bedarf weiterhin rückläufig bleibt und eine maximale Reduzierung vorgenommen wird. Dabei ist davon auszugehen, dass die durchschnittliche Belegung einer Wohnung mit </w:t>
      </w:r>
      <w:r w:rsidR="00EB351C">
        <w:rPr>
          <w:sz w:val="24"/>
          <w:szCs w:val="24"/>
        </w:rPr>
        <w:t>5 Personen erfolgt. Zum 31.12.2016 waren</w:t>
      </w:r>
      <w:r w:rsidR="00E65693">
        <w:rPr>
          <w:sz w:val="24"/>
          <w:szCs w:val="24"/>
        </w:rPr>
        <w:t xml:space="preserve"> </w:t>
      </w:r>
      <w:r w:rsidR="00734853">
        <w:rPr>
          <w:sz w:val="24"/>
          <w:szCs w:val="24"/>
        </w:rPr>
        <w:t>776</w:t>
      </w:r>
      <w:r w:rsidR="00EB351C">
        <w:rPr>
          <w:sz w:val="24"/>
          <w:szCs w:val="24"/>
        </w:rPr>
        <w:t xml:space="preserve"> Personen im Leistungsbezug und folglich nach dem AufnG </w:t>
      </w:r>
      <w:r w:rsidR="00AB4080">
        <w:rPr>
          <w:sz w:val="24"/>
          <w:szCs w:val="24"/>
        </w:rPr>
        <w:t xml:space="preserve">LSA </w:t>
      </w:r>
      <w:r w:rsidR="00EB351C">
        <w:rPr>
          <w:sz w:val="24"/>
          <w:szCs w:val="24"/>
        </w:rPr>
        <w:t xml:space="preserve">unterzubringen. Es bestand ein tatsächlicher Bedarf von 154 Wohnungen. Hierbei ist jedoch nicht berücksichtigt, dass nicht alle Plätze belegbar sind, weil religiöse und familiäre Gründe zu berücksichtigen sind sowie auch unterschiedliche Nationalitäten. Damit sollten 170 </w:t>
      </w:r>
      <w:r w:rsidR="00993651">
        <w:rPr>
          <w:sz w:val="24"/>
          <w:szCs w:val="24"/>
        </w:rPr>
        <w:t xml:space="preserve">Wohnungen </w:t>
      </w:r>
      <w:r w:rsidR="00EB351C">
        <w:rPr>
          <w:sz w:val="24"/>
          <w:szCs w:val="24"/>
        </w:rPr>
        <w:t>als notwendig erachtet werden. Ebenfalls zu berücksichtigen wäre, dass ein Bestand für künftige Transfers vorzuhalten ist. Eine genaue Größe ist schwer anzugeben. Die Transfers beliefen sich Ende 2016 durchaus noch auf 25 Personen, die in einer Woche zugewiesen worden waren und durchaus auch 2 Wochen hintereinander.</w:t>
      </w:r>
      <w:r w:rsidR="00734853">
        <w:rPr>
          <w:sz w:val="24"/>
          <w:szCs w:val="24"/>
        </w:rPr>
        <w:t xml:space="preserve"> </w:t>
      </w:r>
      <w:r w:rsidR="00734853" w:rsidRPr="00F27ED5">
        <w:rPr>
          <w:sz w:val="24"/>
          <w:szCs w:val="24"/>
        </w:rPr>
        <w:t>Auf Empfehlung des Deutschen Städte- und Gemeindebundes sollte im Zusammenhang mit den ungewissen Zahlen des Familiennachzuges bei anerkannten Flüchtlingen Wohnraumreserve vorgehalten werden. Im Landkreis Wittenberg leben derzeit 338 Ausländer denen nur der Status eines subsidiär Schutzberechtigen zuerkannt worden ist</w:t>
      </w:r>
      <w:r w:rsidR="00F27ED5" w:rsidRPr="00F27ED5">
        <w:rPr>
          <w:sz w:val="24"/>
          <w:szCs w:val="24"/>
        </w:rPr>
        <w:t>, verbunden mit der Aussetzung des Familiennachzuges bis Anfang 2018.</w:t>
      </w:r>
    </w:p>
    <w:p w:rsidR="00734853" w:rsidRDefault="00734853" w:rsidP="001322FC">
      <w:pPr>
        <w:pStyle w:val="KeinLeerraum"/>
        <w:spacing w:line="276" w:lineRule="auto"/>
        <w:jc w:val="both"/>
        <w:rPr>
          <w:sz w:val="24"/>
          <w:szCs w:val="24"/>
        </w:rPr>
      </w:pPr>
      <w:r w:rsidRPr="00C30B34">
        <w:rPr>
          <w:color w:val="0000FF"/>
        </w:rPr>
        <w:t xml:space="preserve"> </w:t>
      </w:r>
    </w:p>
    <w:p w:rsidR="00C91D0B" w:rsidRDefault="00B427C6" w:rsidP="001322FC">
      <w:pPr>
        <w:pStyle w:val="KeinLeerraum"/>
        <w:spacing w:line="276" w:lineRule="auto"/>
        <w:jc w:val="both"/>
        <w:rPr>
          <w:sz w:val="24"/>
          <w:szCs w:val="24"/>
        </w:rPr>
      </w:pPr>
      <w:r>
        <w:rPr>
          <w:sz w:val="24"/>
          <w:szCs w:val="24"/>
        </w:rPr>
        <w:t xml:space="preserve">Sollten </w:t>
      </w:r>
      <w:r w:rsidR="00734853">
        <w:rPr>
          <w:sz w:val="24"/>
          <w:szCs w:val="24"/>
        </w:rPr>
        <w:t>nur nicht dauerhaft aufenthalts</w:t>
      </w:r>
      <w:r>
        <w:rPr>
          <w:sz w:val="24"/>
          <w:szCs w:val="24"/>
        </w:rPr>
        <w:t xml:space="preserve">berechtigte </w:t>
      </w:r>
      <w:r w:rsidR="00734853">
        <w:rPr>
          <w:sz w:val="24"/>
          <w:szCs w:val="24"/>
        </w:rPr>
        <w:t>Ausländer</w:t>
      </w:r>
      <w:r>
        <w:rPr>
          <w:sz w:val="24"/>
          <w:szCs w:val="24"/>
        </w:rPr>
        <w:t xml:space="preserve"> zugewiesen werden, besteht ein Bedarf von 180 – 185 Wohnungen. Dieser Idealwert kann frühestens aufgrund der vertraglichen Bindung der Wohnungen 2020 erreicht werden.</w:t>
      </w:r>
    </w:p>
    <w:p w:rsidR="00B427C6" w:rsidRDefault="00B427C6" w:rsidP="001322FC">
      <w:pPr>
        <w:pStyle w:val="KeinLeerraum"/>
        <w:spacing w:line="276" w:lineRule="auto"/>
        <w:jc w:val="both"/>
        <w:rPr>
          <w:sz w:val="24"/>
          <w:szCs w:val="24"/>
        </w:rPr>
      </w:pPr>
      <w:r>
        <w:rPr>
          <w:sz w:val="24"/>
          <w:szCs w:val="24"/>
        </w:rPr>
        <w:t>Unberücksichtigt bleibt hierbei aber die Situation auf dem allgemeinen Wohnungsmarkt für bereits anerkannte Flüchtlinge. Zum 31.12.2016 waren gut 375 Personen mit Aufen</w:t>
      </w:r>
      <w:r w:rsidR="00B94DAC">
        <w:rPr>
          <w:sz w:val="24"/>
          <w:szCs w:val="24"/>
        </w:rPr>
        <w:t>t</w:t>
      </w:r>
      <w:r>
        <w:rPr>
          <w:sz w:val="24"/>
          <w:szCs w:val="24"/>
        </w:rPr>
        <w:t>haltstitel in den Wohnungen des Landkreises Wittenberg gegen Kostenerstattung untergebracht, was einem zusät</w:t>
      </w:r>
      <w:r w:rsidR="00993651">
        <w:rPr>
          <w:sz w:val="24"/>
          <w:szCs w:val="24"/>
        </w:rPr>
        <w:t>z</w:t>
      </w:r>
      <w:r>
        <w:rPr>
          <w:sz w:val="24"/>
          <w:szCs w:val="24"/>
        </w:rPr>
        <w:t>lichen Bedarf von 75 Wohnungen entspricht. Damit könnte schon Ende 2018 ein bedarfsdeckender Wohnungsbestand herbeigeführt werden, soweit die Übergangswohnheime nicht länger betrieben werden würden.</w:t>
      </w:r>
    </w:p>
    <w:p w:rsidR="00B427C6" w:rsidRPr="000014E9" w:rsidRDefault="00B427C6" w:rsidP="00B20AE4">
      <w:pPr>
        <w:pStyle w:val="KeinLeerraum"/>
        <w:jc w:val="both"/>
        <w:rPr>
          <w:sz w:val="24"/>
          <w:szCs w:val="24"/>
        </w:rPr>
      </w:pPr>
    </w:p>
    <w:p w:rsidR="00B20AE4" w:rsidRDefault="00B20AE4" w:rsidP="00B20AE4">
      <w:pPr>
        <w:pStyle w:val="KeinLeerraum"/>
        <w:jc w:val="both"/>
      </w:pPr>
    </w:p>
    <w:p w:rsidR="00B20AE4" w:rsidRDefault="00C91D0B" w:rsidP="00B20AE4">
      <w:r>
        <w:rPr>
          <w:noProof/>
          <w:lang w:eastAsia="de-DE"/>
        </w:rPr>
        <w:drawing>
          <wp:inline distT="0" distB="0" distL="0" distR="0" wp14:anchorId="73432EFB" wp14:editId="736E5B2D">
            <wp:extent cx="5759450" cy="2557646"/>
            <wp:effectExtent l="0" t="0" r="12700" b="14605"/>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27C6" w:rsidRDefault="00B427C6" w:rsidP="00B427C6">
      <w:pPr>
        <w:pStyle w:val="KeinLeerraum"/>
        <w:jc w:val="both"/>
        <w:rPr>
          <w:sz w:val="24"/>
          <w:szCs w:val="24"/>
        </w:rPr>
      </w:pPr>
    </w:p>
    <w:p w:rsidR="00B20AE4" w:rsidRPr="001322FC" w:rsidRDefault="0037022F" w:rsidP="001322FC">
      <w:pPr>
        <w:pStyle w:val="KeinLeerraum"/>
        <w:spacing w:line="276" w:lineRule="auto"/>
        <w:jc w:val="both"/>
        <w:rPr>
          <w:rFonts w:cs="Arial"/>
          <w:sz w:val="24"/>
          <w:szCs w:val="24"/>
        </w:rPr>
      </w:pPr>
      <w:r w:rsidRPr="001322FC">
        <w:rPr>
          <w:rFonts w:cs="Arial"/>
          <w:sz w:val="24"/>
          <w:szCs w:val="24"/>
        </w:rPr>
        <w:t>Aktuell ist der Landkreis Wittenberg noch an</w:t>
      </w:r>
      <w:r w:rsidR="00B20AE4" w:rsidRPr="001322FC">
        <w:rPr>
          <w:rFonts w:cs="Arial"/>
          <w:sz w:val="24"/>
          <w:szCs w:val="24"/>
        </w:rPr>
        <w:t xml:space="preserve"> 295 Mietverträge</w:t>
      </w:r>
      <w:r w:rsidRPr="001322FC">
        <w:rPr>
          <w:rFonts w:cs="Arial"/>
          <w:sz w:val="24"/>
          <w:szCs w:val="24"/>
        </w:rPr>
        <w:t xml:space="preserve"> gebunden</w:t>
      </w:r>
      <w:r w:rsidR="00B20AE4" w:rsidRPr="001322FC">
        <w:rPr>
          <w:rFonts w:cs="Arial"/>
          <w:sz w:val="24"/>
          <w:szCs w:val="24"/>
        </w:rPr>
        <w:t>. Davon sind 42 unbefristet</w:t>
      </w:r>
      <w:r w:rsidR="00F27ED5" w:rsidRPr="001322FC">
        <w:rPr>
          <w:rFonts w:cs="Arial"/>
          <w:sz w:val="24"/>
          <w:szCs w:val="24"/>
        </w:rPr>
        <w:t>, die sich bis auf eine Wohnung in der Lutherstadt Wittenberg befinden.</w:t>
      </w:r>
      <w:r w:rsidR="00B20AE4" w:rsidRPr="001322FC">
        <w:rPr>
          <w:rFonts w:cs="Arial"/>
          <w:sz w:val="24"/>
          <w:szCs w:val="24"/>
        </w:rPr>
        <w:t xml:space="preserve"> </w:t>
      </w:r>
    </w:p>
    <w:p w:rsidR="00B20AE4" w:rsidRPr="001322FC" w:rsidRDefault="00B20AE4" w:rsidP="001322FC">
      <w:pPr>
        <w:pStyle w:val="KeinLeerraum"/>
        <w:spacing w:line="276" w:lineRule="auto"/>
        <w:jc w:val="both"/>
        <w:rPr>
          <w:rFonts w:cs="Arial"/>
          <w:sz w:val="24"/>
          <w:szCs w:val="24"/>
        </w:rPr>
      </w:pPr>
      <w:r w:rsidRPr="001322FC">
        <w:rPr>
          <w:rFonts w:cs="Arial"/>
          <w:sz w:val="24"/>
          <w:szCs w:val="24"/>
        </w:rPr>
        <w:t>Die Kündigung dieser Wohnungen und der Umzug der Bewohner nach</w:t>
      </w:r>
      <w:r w:rsidR="00F27ED5" w:rsidRPr="001322FC">
        <w:rPr>
          <w:rFonts w:cs="Arial"/>
          <w:sz w:val="24"/>
          <w:szCs w:val="24"/>
        </w:rPr>
        <w:t xml:space="preserve"> Jessen (Elster) OT</w:t>
      </w:r>
      <w:r w:rsidRPr="001322FC">
        <w:rPr>
          <w:rFonts w:cs="Arial"/>
          <w:sz w:val="24"/>
          <w:szCs w:val="24"/>
        </w:rPr>
        <w:t xml:space="preserve"> Holzdorf  wäre eine Variante. </w:t>
      </w:r>
    </w:p>
    <w:p w:rsidR="00B20AE4" w:rsidRPr="001322FC" w:rsidRDefault="00B20AE4" w:rsidP="001322FC">
      <w:pPr>
        <w:pStyle w:val="KeinLeerraum"/>
        <w:spacing w:line="276" w:lineRule="auto"/>
        <w:jc w:val="both"/>
        <w:rPr>
          <w:rFonts w:cs="Arial"/>
          <w:sz w:val="24"/>
          <w:szCs w:val="24"/>
        </w:rPr>
      </w:pPr>
      <w:r w:rsidRPr="001322FC">
        <w:rPr>
          <w:rFonts w:cs="Arial"/>
          <w:sz w:val="24"/>
          <w:szCs w:val="24"/>
        </w:rPr>
        <w:t>Zu bedenken ist  jedoch, dass in 25 Wohnungen Familien mit Kindern leben. Es werden zusätzliche Kapazitäten in den Kindereinrichtungen und Schulen benötigt. Die ärztliche Versorgung müsste auch sichergestellt werden.</w:t>
      </w:r>
      <w:r w:rsidR="00B427C6" w:rsidRPr="001322FC">
        <w:rPr>
          <w:rFonts w:cs="Arial"/>
          <w:sz w:val="24"/>
          <w:szCs w:val="24"/>
        </w:rPr>
        <w:t xml:space="preserve"> Bereits jetzt können in </w:t>
      </w:r>
      <w:r w:rsidR="00F27ED5" w:rsidRPr="001322FC">
        <w:rPr>
          <w:rFonts w:cs="Arial"/>
          <w:sz w:val="24"/>
          <w:szCs w:val="24"/>
        </w:rPr>
        <w:t xml:space="preserve">Jessen (Elster) OT </w:t>
      </w:r>
      <w:r w:rsidR="00B427C6" w:rsidRPr="001322FC">
        <w:rPr>
          <w:rFonts w:cs="Arial"/>
          <w:sz w:val="24"/>
          <w:szCs w:val="24"/>
        </w:rPr>
        <w:t>Holzdorf nicht alle</w:t>
      </w:r>
      <w:r w:rsidR="00B94DAC" w:rsidRPr="001322FC">
        <w:rPr>
          <w:rFonts w:cs="Arial"/>
          <w:sz w:val="24"/>
          <w:szCs w:val="24"/>
        </w:rPr>
        <w:t>n</w:t>
      </w:r>
      <w:r w:rsidR="00B427C6" w:rsidRPr="001322FC">
        <w:rPr>
          <w:rFonts w:cs="Arial"/>
          <w:sz w:val="24"/>
          <w:szCs w:val="24"/>
        </w:rPr>
        <w:t xml:space="preserve"> Kinder</w:t>
      </w:r>
      <w:r w:rsidR="00B94DAC" w:rsidRPr="001322FC">
        <w:rPr>
          <w:rFonts w:cs="Arial"/>
          <w:sz w:val="24"/>
          <w:szCs w:val="24"/>
        </w:rPr>
        <w:t>n</w:t>
      </w:r>
      <w:r w:rsidR="00B427C6" w:rsidRPr="001322FC">
        <w:rPr>
          <w:rFonts w:cs="Arial"/>
          <w:sz w:val="24"/>
          <w:szCs w:val="24"/>
        </w:rPr>
        <w:t xml:space="preserve"> Betreuungsplätze zur Verfügung gestellt werden, so dass frühkindliche Bildung und Vorbereitung auf die Schule nicht gewährleistet werden </w:t>
      </w:r>
      <w:r w:rsidR="00F27ED5" w:rsidRPr="001322FC">
        <w:rPr>
          <w:rFonts w:cs="Arial"/>
          <w:sz w:val="24"/>
          <w:szCs w:val="24"/>
        </w:rPr>
        <w:t>können</w:t>
      </w:r>
      <w:r w:rsidR="005128F7" w:rsidRPr="001322FC">
        <w:rPr>
          <w:rFonts w:cs="Arial"/>
          <w:sz w:val="24"/>
          <w:szCs w:val="24"/>
        </w:rPr>
        <w:t>. Eine nachhaltige Integration kann so nicht erfolgen und gelingen.</w:t>
      </w:r>
    </w:p>
    <w:p w:rsidR="00B20AE4" w:rsidRPr="001322FC" w:rsidRDefault="00B20AE4" w:rsidP="001322FC">
      <w:pPr>
        <w:pStyle w:val="KeinLeerraum"/>
        <w:spacing w:line="276" w:lineRule="auto"/>
        <w:jc w:val="both"/>
        <w:rPr>
          <w:rFonts w:cs="Arial"/>
          <w:sz w:val="24"/>
          <w:szCs w:val="24"/>
        </w:rPr>
      </w:pPr>
    </w:p>
    <w:p w:rsidR="00B20AE4" w:rsidRPr="001322FC" w:rsidRDefault="00B20AE4" w:rsidP="001322FC">
      <w:pPr>
        <w:jc w:val="both"/>
        <w:rPr>
          <w:rFonts w:cs="Arial"/>
          <w:sz w:val="24"/>
          <w:szCs w:val="24"/>
        </w:rPr>
      </w:pPr>
      <w:r w:rsidRPr="001322FC">
        <w:rPr>
          <w:rFonts w:cs="Arial"/>
          <w:sz w:val="24"/>
          <w:szCs w:val="24"/>
        </w:rPr>
        <w:t>Es wurde weiterhin überprüft, ob mit der Schließung der Übergangswohnheime (ÜWH) verbrauchsabhängige Kosten eingespart werden können.</w:t>
      </w:r>
    </w:p>
    <w:p w:rsidR="00B20AE4" w:rsidRPr="001322FC" w:rsidRDefault="00B20AE4" w:rsidP="001322FC">
      <w:pPr>
        <w:pStyle w:val="KeinLeerraum"/>
        <w:spacing w:line="276" w:lineRule="auto"/>
        <w:jc w:val="both"/>
        <w:rPr>
          <w:rFonts w:cs="Arial"/>
          <w:sz w:val="24"/>
          <w:szCs w:val="24"/>
        </w:rPr>
      </w:pPr>
      <w:r w:rsidRPr="001322FC">
        <w:rPr>
          <w:rFonts w:cs="Arial"/>
          <w:sz w:val="24"/>
          <w:szCs w:val="24"/>
        </w:rPr>
        <w:t xml:space="preserve">Im ÜWH Coswig leben durchschnittlich 120 Bewohner.  Allein die Heizkosten </w:t>
      </w:r>
      <w:r w:rsidR="004B4F3D">
        <w:rPr>
          <w:rFonts w:cs="Arial"/>
          <w:sz w:val="24"/>
          <w:szCs w:val="24"/>
        </w:rPr>
        <w:t>belaufen sich auf ca. 60.000 Euro</w:t>
      </w:r>
      <w:r w:rsidRPr="001322FC">
        <w:rPr>
          <w:rFonts w:cs="Arial"/>
          <w:sz w:val="24"/>
          <w:szCs w:val="24"/>
        </w:rPr>
        <w:t xml:space="preserve"> / Jahr. </w:t>
      </w:r>
    </w:p>
    <w:p w:rsidR="00B20AE4" w:rsidRPr="001322FC" w:rsidRDefault="00B20AE4" w:rsidP="001322FC">
      <w:pPr>
        <w:pStyle w:val="KeinLeerraum"/>
        <w:spacing w:line="276" w:lineRule="auto"/>
        <w:jc w:val="both"/>
        <w:rPr>
          <w:rFonts w:cs="Arial"/>
          <w:sz w:val="24"/>
          <w:szCs w:val="24"/>
        </w:rPr>
      </w:pPr>
      <w:r w:rsidRPr="001322FC">
        <w:rPr>
          <w:rFonts w:cs="Arial"/>
          <w:sz w:val="24"/>
          <w:szCs w:val="24"/>
        </w:rPr>
        <w:t xml:space="preserve">Eine Unterbringung in </w:t>
      </w:r>
      <w:r w:rsidR="00F27ED5" w:rsidRPr="001322FC">
        <w:rPr>
          <w:rFonts w:cs="Arial"/>
          <w:sz w:val="24"/>
          <w:szCs w:val="24"/>
        </w:rPr>
        <w:t xml:space="preserve">Jessen (Elster) OT </w:t>
      </w:r>
      <w:r w:rsidRPr="001322FC">
        <w:rPr>
          <w:rFonts w:cs="Arial"/>
          <w:sz w:val="24"/>
          <w:szCs w:val="24"/>
        </w:rPr>
        <w:t>Holzdorf wurde geprüft, da dort noch ausreichend  Wohnraum vorhanden ist.</w:t>
      </w:r>
    </w:p>
    <w:p w:rsidR="00B20AE4" w:rsidRPr="001322FC" w:rsidRDefault="005128F7" w:rsidP="001322FC">
      <w:pPr>
        <w:pStyle w:val="KeinLeerraum"/>
        <w:spacing w:line="276" w:lineRule="auto"/>
        <w:jc w:val="both"/>
        <w:rPr>
          <w:rFonts w:cs="Arial"/>
          <w:sz w:val="24"/>
          <w:szCs w:val="24"/>
        </w:rPr>
      </w:pPr>
      <w:r w:rsidRPr="001322FC">
        <w:rPr>
          <w:rFonts w:cs="Arial"/>
          <w:sz w:val="24"/>
          <w:szCs w:val="24"/>
        </w:rPr>
        <w:t>Nach Aussage der Immacon GmbH, der Verwalterin des Objektes</w:t>
      </w:r>
      <w:r w:rsidR="00993651" w:rsidRPr="001322FC">
        <w:rPr>
          <w:rFonts w:cs="Arial"/>
          <w:sz w:val="24"/>
          <w:szCs w:val="24"/>
        </w:rPr>
        <w:t>,</w:t>
      </w:r>
      <w:r w:rsidR="00B20AE4" w:rsidRPr="001322FC">
        <w:rPr>
          <w:rFonts w:cs="Arial"/>
          <w:color w:val="FF0000"/>
          <w:sz w:val="24"/>
          <w:szCs w:val="24"/>
        </w:rPr>
        <w:t xml:space="preserve"> </w:t>
      </w:r>
      <w:r w:rsidR="00B20AE4" w:rsidRPr="001322FC">
        <w:rPr>
          <w:rFonts w:cs="Arial"/>
          <w:sz w:val="24"/>
          <w:szCs w:val="24"/>
        </w:rPr>
        <w:t xml:space="preserve">belaufen sich die Heizkosten für eine Wohnung in </w:t>
      </w:r>
      <w:r w:rsidR="00F27ED5" w:rsidRPr="001322FC">
        <w:rPr>
          <w:rFonts w:cs="Arial"/>
          <w:sz w:val="24"/>
          <w:szCs w:val="24"/>
        </w:rPr>
        <w:t xml:space="preserve">Jessen (Elster) OT </w:t>
      </w:r>
      <w:r w:rsidR="00B20AE4" w:rsidRPr="001322FC">
        <w:rPr>
          <w:rFonts w:cs="Arial"/>
          <w:sz w:val="24"/>
          <w:szCs w:val="24"/>
        </w:rPr>
        <w:t>Holzdor</w:t>
      </w:r>
      <w:r w:rsidR="004B4F3D">
        <w:rPr>
          <w:rFonts w:cs="Arial"/>
          <w:sz w:val="24"/>
          <w:szCs w:val="24"/>
        </w:rPr>
        <w:t>f bei  Leerstand auf ca. 250 Euro</w:t>
      </w:r>
      <w:r w:rsidR="00B20AE4" w:rsidRPr="001322FC">
        <w:rPr>
          <w:rFonts w:cs="Arial"/>
          <w:sz w:val="24"/>
          <w:szCs w:val="24"/>
        </w:rPr>
        <w:t xml:space="preserve"> / Jahr un</w:t>
      </w:r>
      <w:r w:rsidR="004B4F3D">
        <w:rPr>
          <w:rFonts w:cs="Arial"/>
          <w:sz w:val="24"/>
          <w:szCs w:val="24"/>
        </w:rPr>
        <w:t>d bei  Nutzung auf ca. 1.728 Euro/Jahr (2,00 Euro</w:t>
      </w:r>
      <w:r w:rsidR="00B20AE4" w:rsidRPr="001322FC">
        <w:rPr>
          <w:rFonts w:cs="Arial"/>
          <w:sz w:val="24"/>
          <w:szCs w:val="24"/>
        </w:rPr>
        <w:t>/qm/Monat).</w:t>
      </w:r>
      <w:r w:rsidRPr="001322FC">
        <w:rPr>
          <w:rFonts w:cs="Arial"/>
          <w:sz w:val="24"/>
          <w:szCs w:val="24"/>
        </w:rPr>
        <w:t xml:space="preserve"> Die Betriebskostenabrechnungen in Wittenberg, Coswig und Gräfenhainichen belegen, dass diese Kalkulation nicht zu hoch ist, teilweise aber auch nicht auskömmlich ist.</w:t>
      </w:r>
    </w:p>
    <w:p w:rsidR="00B20AE4" w:rsidRPr="001322FC" w:rsidRDefault="00B20AE4" w:rsidP="001322FC">
      <w:pPr>
        <w:pStyle w:val="KeinLeerraum"/>
        <w:spacing w:line="276" w:lineRule="auto"/>
        <w:jc w:val="both"/>
        <w:rPr>
          <w:rFonts w:cs="Arial"/>
          <w:sz w:val="24"/>
          <w:szCs w:val="24"/>
        </w:rPr>
      </w:pPr>
      <w:r w:rsidRPr="001322FC">
        <w:rPr>
          <w:rFonts w:cs="Arial"/>
          <w:sz w:val="24"/>
          <w:szCs w:val="24"/>
        </w:rPr>
        <w:t>Bei einem Leerzug des ÜWH Coswig werden ca. 20 Wohnungen benötigt.</w:t>
      </w:r>
    </w:p>
    <w:p w:rsidR="00B20AE4" w:rsidRPr="001322FC" w:rsidRDefault="00B20AE4" w:rsidP="001322FC">
      <w:pPr>
        <w:pStyle w:val="KeinLeerraum"/>
        <w:spacing w:line="276" w:lineRule="auto"/>
        <w:jc w:val="both"/>
        <w:rPr>
          <w:rFonts w:cs="Arial"/>
          <w:sz w:val="24"/>
          <w:szCs w:val="24"/>
        </w:rPr>
      </w:pPr>
      <w:r w:rsidRPr="001322FC">
        <w:rPr>
          <w:rFonts w:cs="Arial"/>
          <w:sz w:val="24"/>
          <w:szCs w:val="24"/>
        </w:rPr>
        <w:t>Die Heizkosten würden bei  20 Wohnungen im bewohnten Zustand ca. 34.5</w:t>
      </w:r>
      <w:r w:rsidR="004B4F3D">
        <w:rPr>
          <w:rFonts w:cs="Arial"/>
          <w:sz w:val="24"/>
          <w:szCs w:val="24"/>
        </w:rPr>
        <w:t>60 Euro/Jahr betragen (2,00 Euro</w:t>
      </w:r>
      <w:r w:rsidRPr="001322FC">
        <w:rPr>
          <w:rFonts w:cs="Arial"/>
          <w:sz w:val="24"/>
          <w:szCs w:val="24"/>
        </w:rPr>
        <w:t xml:space="preserve"> x 72 qm x 20 WE x 12 Monate). Bei Leerzustand belaufen s</w:t>
      </w:r>
      <w:r w:rsidR="004B4F3D">
        <w:rPr>
          <w:rFonts w:cs="Arial"/>
          <w:sz w:val="24"/>
          <w:szCs w:val="24"/>
        </w:rPr>
        <w:t>ich die Kosten auf  ca. 5.000 Euro (250,00 Euro</w:t>
      </w:r>
      <w:r w:rsidRPr="001322FC">
        <w:rPr>
          <w:rFonts w:cs="Arial"/>
          <w:sz w:val="24"/>
          <w:szCs w:val="24"/>
        </w:rPr>
        <w:t xml:space="preserve"> x 20 WE).</w:t>
      </w:r>
    </w:p>
    <w:p w:rsidR="00B20AE4" w:rsidRPr="001322FC" w:rsidRDefault="00B20AE4" w:rsidP="001322FC">
      <w:pPr>
        <w:pStyle w:val="KeinLeerraum"/>
        <w:spacing w:line="276" w:lineRule="auto"/>
        <w:jc w:val="both"/>
        <w:rPr>
          <w:rFonts w:cs="Arial"/>
          <w:sz w:val="24"/>
          <w:szCs w:val="24"/>
        </w:rPr>
      </w:pPr>
      <w:r w:rsidRPr="001322FC">
        <w:rPr>
          <w:rFonts w:cs="Arial"/>
          <w:sz w:val="24"/>
          <w:szCs w:val="24"/>
        </w:rPr>
        <w:t>Das ergibt bei einer Belegung zusätzliche Heizkos</w:t>
      </w:r>
      <w:r w:rsidR="004B4F3D">
        <w:rPr>
          <w:rFonts w:cs="Arial"/>
          <w:sz w:val="24"/>
          <w:szCs w:val="24"/>
        </w:rPr>
        <w:t>ten von insgesamt ca. 29.560 Euro</w:t>
      </w:r>
      <w:r w:rsidRPr="001322FC">
        <w:rPr>
          <w:rFonts w:cs="Arial"/>
          <w:sz w:val="24"/>
          <w:szCs w:val="24"/>
        </w:rPr>
        <w:t>.</w:t>
      </w:r>
    </w:p>
    <w:p w:rsidR="00B20AE4" w:rsidRPr="001322FC" w:rsidRDefault="00B20AE4" w:rsidP="001322FC">
      <w:pPr>
        <w:pStyle w:val="KeinLeerraum"/>
        <w:spacing w:line="276" w:lineRule="auto"/>
        <w:jc w:val="both"/>
        <w:rPr>
          <w:rFonts w:cs="Arial"/>
          <w:sz w:val="24"/>
          <w:szCs w:val="24"/>
        </w:rPr>
      </w:pPr>
      <w:r w:rsidRPr="001322FC">
        <w:rPr>
          <w:rFonts w:cs="Arial"/>
          <w:sz w:val="24"/>
          <w:szCs w:val="24"/>
        </w:rPr>
        <w:t xml:space="preserve">Gegenüber den Heizkosten im ÜWH Coswig </w:t>
      </w:r>
      <w:r w:rsidR="005128F7" w:rsidRPr="001322FC">
        <w:rPr>
          <w:rFonts w:cs="Arial"/>
          <w:sz w:val="24"/>
          <w:szCs w:val="24"/>
        </w:rPr>
        <w:t>käme es auf den</w:t>
      </w:r>
      <w:r w:rsidRPr="001322FC">
        <w:rPr>
          <w:rFonts w:cs="Arial"/>
          <w:sz w:val="24"/>
          <w:szCs w:val="24"/>
        </w:rPr>
        <w:t xml:space="preserve"> ersten Blick </w:t>
      </w:r>
      <w:r w:rsidR="004B4F3D">
        <w:rPr>
          <w:rFonts w:cs="Arial"/>
          <w:sz w:val="24"/>
          <w:szCs w:val="24"/>
        </w:rPr>
        <w:t>zu einer Ersparnis von 25.440 Euro (60.000 Euro</w:t>
      </w:r>
      <w:r w:rsidRPr="001322FC">
        <w:rPr>
          <w:rFonts w:cs="Arial"/>
          <w:sz w:val="24"/>
          <w:szCs w:val="24"/>
        </w:rPr>
        <w:t xml:space="preserve"> -</w:t>
      </w:r>
      <w:r w:rsidR="00B94DAC" w:rsidRPr="001322FC">
        <w:rPr>
          <w:rFonts w:cs="Arial"/>
          <w:sz w:val="24"/>
          <w:szCs w:val="24"/>
        </w:rPr>
        <w:t xml:space="preserve"> </w:t>
      </w:r>
      <w:r w:rsidR="004B4F3D">
        <w:rPr>
          <w:rFonts w:cs="Arial"/>
          <w:sz w:val="24"/>
          <w:szCs w:val="24"/>
        </w:rPr>
        <w:t>34.560 Euro</w:t>
      </w:r>
      <w:r w:rsidRPr="001322FC">
        <w:rPr>
          <w:rFonts w:cs="Arial"/>
          <w:sz w:val="24"/>
          <w:szCs w:val="24"/>
        </w:rPr>
        <w:t>).</w:t>
      </w:r>
    </w:p>
    <w:p w:rsidR="00F27ED5" w:rsidRPr="001322FC" w:rsidRDefault="00B20AE4" w:rsidP="001322FC">
      <w:pPr>
        <w:pStyle w:val="KeinLeerraum"/>
        <w:spacing w:line="276" w:lineRule="auto"/>
        <w:jc w:val="both"/>
        <w:rPr>
          <w:rFonts w:cs="Arial"/>
          <w:sz w:val="24"/>
          <w:szCs w:val="24"/>
        </w:rPr>
      </w:pPr>
      <w:r w:rsidRPr="001322FC">
        <w:rPr>
          <w:rFonts w:cs="Arial"/>
          <w:sz w:val="24"/>
          <w:szCs w:val="24"/>
        </w:rPr>
        <w:t xml:space="preserve">Jedoch ist auch bei Leerstand </w:t>
      </w:r>
      <w:r w:rsidRPr="001322FC">
        <w:rPr>
          <w:rFonts w:cs="Arial"/>
          <w:color w:val="000000" w:themeColor="text1"/>
          <w:sz w:val="24"/>
          <w:szCs w:val="24"/>
        </w:rPr>
        <w:t xml:space="preserve">des ÜWH Coswig eine </w:t>
      </w:r>
      <w:r w:rsidRPr="001322FC">
        <w:rPr>
          <w:rFonts w:cs="Arial"/>
          <w:sz w:val="24"/>
          <w:szCs w:val="24"/>
        </w:rPr>
        <w:t xml:space="preserve">Grundbeheizung erforderlich. </w:t>
      </w:r>
      <w:r w:rsidR="00F27ED5" w:rsidRPr="001322FC">
        <w:rPr>
          <w:rFonts w:cs="Arial"/>
          <w:sz w:val="24"/>
          <w:szCs w:val="24"/>
        </w:rPr>
        <w:t>Dazu wurden die Heizkosten der ehemaligen Karl-Marx-Schule (KMS) bei Leerstand betrachtet. Diese beliefen sich a</w:t>
      </w:r>
      <w:r w:rsidR="004B4F3D">
        <w:rPr>
          <w:rFonts w:cs="Arial"/>
          <w:sz w:val="24"/>
          <w:szCs w:val="24"/>
        </w:rPr>
        <w:t>uf durchschnittlich 3.500,00 Euro/Monat (1.600 Euro im Juni 2016; 5.400 Euro</w:t>
      </w:r>
      <w:r w:rsidR="00F27ED5" w:rsidRPr="001322FC">
        <w:rPr>
          <w:rFonts w:cs="Arial"/>
          <w:sz w:val="24"/>
          <w:szCs w:val="24"/>
        </w:rPr>
        <w:t xml:space="preserve"> im Februar 201</w:t>
      </w:r>
      <w:r w:rsidR="004B4F3D">
        <w:rPr>
          <w:rFonts w:cs="Arial"/>
          <w:sz w:val="24"/>
          <w:szCs w:val="24"/>
        </w:rPr>
        <w:t>7). Das entspricht ca. 42.000 Euro</w:t>
      </w:r>
      <w:r w:rsidR="00F27ED5" w:rsidRPr="001322FC">
        <w:rPr>
          <w:rFonts w:cs="Arial"/>
          <w:sz w:val="24"/>
          <w:szCs w:val="24"/>
        </w:rPr>
        <w:t>/Jahr. Folglich sind Einsparungen durch die Schließung des ÜWH nicht zu verzeichnen.</w:t>
      </w:r>
    </w:p>
    <w:p w:rsidR="00186688" w:rsidRPr="001322FC" w:rsidRDefault="005128F7" w:rsidP="001322FC">
      <w:pPr>
        <w:jc w:val="both"/>
        <w:rPr>
          <w:rFonts w:cs="Arial"/>
          <w:sz w:val="24"/>
          <w:szCs w:val="24"/>
        </w:rPr>
      </w:pPr>
      <w:r w:rsidRPr="001322FC">
        <w:rPr>
          <w:rFonts w:cs="Arial"/>
          <w:sz w:val="24"/>
          <w:szCs w:val="24"/>
        </w:rPr>
        <w:t xml:space="preserve">Alternativ könnte die Schließung des ÜWH in Gräfenhainichen in Betracht kommen. </w:t>
      </w:r>
      <w:r w:rsidR="00B20AE4" w:rsidRPr="001322FC">
        <w:rPr>
          <w:rFonts w:cs="Arial"/>
          <w:sz w:val="24"/>
          <w:szCs w:val="24"/>
        </w:rPr>
        <w:t>Im ÜWH Gräfenhainichen leben durch</w:t>
      </w:r>
      <w:r w:rsidRPr="001322FC">
        <w:rPr>
          <w:rFonts w:cs="Arial"/>
          <w:sz w:val="24"/>
          <w:szCs w:val="24"/>
        </w:rPr>
        <w:t>schnittlich 54 Personen. D</w:t>
      </w:r>
      <w:r w:rsidR="00B20AE4" w:rsidRPr="001322FC">
        <w:rPr>
          <w:rFonts w:cs="Arial"/>
          <w:sz w:val="24"/>
          <w:szCs w:val="24"/>
        </w:rPr>
        <w:t xml:space="preserve">ie Heizkosten belaufen sich </w:t>
      </w:r>
      <w:r w:rsidRPr="001322FC">
        <w:rPr>
          <w:rFonts w:cs="Arial"/>
          <w:sz w:val="24"/>
          <w:szCs w:val="24"/>
        </w:rPr>
        <w:t xml:space="preserve">aufgrund der neueren Bausubstanz </w:t>
      </w:r>
      <w:r w:rsidR="00B20AE4" w:rsidRPr="001322FC">
        <w:rPr>
          <w:rFonts w:cs="Arial"/>
          <w:sz w:val="24"/>
          <w:szCs w:val="24"/>
        </w:rPr>
        <w:t xml:space="preserve">auf </w:t>
      </w:r>
      <w:r w:rsidRPr="001322FC">
        <w:rPr>
          <w:rFonts w:cs="Arial"/>
          <w:sz w:val="24"/>
          <w:szCs w:val="24"/>
        </w:rPr>
        <w:t xml:space="preserve">nur </w:t>
      </w:r>
      <w:r w:rsidR="004B4F3D">
        <w:rPr>
          <w:rFonts w:cs="Arial"/>
          <w:sz w:val="24"/>
          <w:szCs w:val="24"/>
        </w:rPr>
        <w:t>5.700 Euro</w:t>
      </w:r>
      <w:r w:rsidR="00B20AE4" w:rsidRPr="001322FC">
        <w:rPr>
          <w:rFonts w:cs="Arial"/>
          <w:sz w:val="24"/>
          <w:szCs w:val="24"/>
        </w:rPr>
        <w:t>/Jahr.</w:t>
      </w:r>
      <w:r w:rsidR="00B94DAC" w:rsidRPr="001322FC">
        <w:rPr>
          <w:rFonts w:cs="Arial"/>
          <w:sz w:val="24"/>
          <w:szCs w:val="24"/>
        </w:rPr>
        <w:t xml:space="preserve"> </w:t>
      </w:r>
      <w:r w:rsidRPr="001322FC">
        <w:rPr>
          <w:rFonts w:cs="Arial"/>
          <w:sz w:val="24"/>
          <w:szCs w:val="24"/>
        </w:rPr>
        <w:t>Demgegenüber</w:t>
      </w:r>
      <w:r w:rsidR="00B20AE4" w:rsidRPr="001322FC">
        <w:rPr>
          <w:rFonts w:cs="Arial"/>
          <w:color w:val="FF0000"/>
          <w:sz w:val="24"/>
          <w:szCs w:val="24"/>
        </w:rPr>
        <w:t xml:space="preserve"> </w:t>
      </w:r>
      <w:r w:rsidR="00B20AE4" w:rsidRPr="001322FC">
        <w:rPr>
          <w:rFonts w:cs="Arial"/>
          <w:sz w:val="24"/>
          <w:szCs w:val="24"/>
        </w:rPr>
        <w:t xml:space="preserve">belaufen sich die Heizkosten für eine Wohnung in </w:t>
      </w:r>
      <w:r w:rsidR="00F27ED5" w:rsidRPr="001322FC">
        <w:rPr>
          <w:rFonts w:cs="Arial"/>
          <w:sz w:val="24"/>
          <w:szCs w:val="24"/>
        </w:rPr>
        <w:t xml:space="preserve">Jessen (Elster) OT </w:t>
      </w:r>
      <w:r w:rsidR="00B20AE4" w:rsidRPr="001322FC">
        <w:rPr>
          <w:rFonts w:cs="Arial"/>
          <w:sz w:val="24"/>
          <w:szCs w:val="24"/>
        </w:rPr>
        <w:t>Holzdo</w:t>
      </w:r>
      <w:r w:rsidR="004B4F3D">
        <w:rPr>
          <w:rFonts w:cs="Arial"/>
          <w:sz w:val="24"/>
          <w:szCs w:val="24"/>
        </w:rPr>
        <w:t>rf bei  Leerstand auf ca. 250 Euro</w:t>
      </w:r>
      <w:r w:rsidR="00B20AE4" w:rsidRPr="001322FC">
        <w:rPr>
          <w:rFonts w:cs="Arial"/>
          <w:sz w:val="24"/>
          <w:szCs w:val="24"/>
        </w:rPr>
        <w:t xml:space="preserve"> / Jahr und bei  Nu</w:t>
      </w:r>
      <w:r w:rsidR="004B4F3D">
        <w:rPr>
          <w:rFonts w:cs="Arial"/>
          <w:sz w:val="24"/>
          <w:szCs w:val="24"/>
        </w:rPr>
        <w:t>tzung auf ca. 2,00 Euro</w:t>
      </w:r>
      <w:r w:rsidR="00186688" w:rsidRPr="001322FC">
        <w:rPr>
          <w:rFonts w:cs="Arial"/>
          <w:sz w:val="24"/>
          <w:szCs w:val="24"/>
        </w:rPr>
        <w:t xml:space="preserve">/qm/Monat. </w:t>
      </w:r>
      <w:r w:rsidR="00B20AE4" w:rsidRPr="001322FC">
        <w:rPr>
          <w:rFonts w:cs="Arial"/>
          <w:sz w:val="24"/>
          <w:szCs w:val="24"/>
        </w:rPr>
        <w:t>Bei einem Leerzug des ÜWH Gräfenhainichen werden ca. 9 Wohnungen benötigt.</w:t>
      </w:r>
      <w:r w:rsidR="00186688" w:rsidRPr="001322FC">
        <w:rPr>
          <w:rFonts w:cs="Arial"/>
          <w:sz w:val="24"/>
          <w:szCs w:val="24"/>
        </w:rPr>
        <w:t xml:space="preserve"> </w:t>
      </w:r>
      <w:r w:rsidR="00B20AE4" w:rsidRPr="001322FC">
        <w:rPr>
          <w:rFonts w:cs="Arial"/>
          <w:sz w:val="24"/>
          <w:szCs w:val="24"/>
        </w:rPr>
        <w:t>Die Heizkosten würden bei  9 Wohnungen im bewohnten Zust</w:t>
      </w:r>
      <w:r w:rsidR="004B4F3D">
        <w:rPr>
          <w:rFonts w:cs="Arial"/>
          <w:sz w:val="24"/>
          <w:szCs w:val="24"/>
        </w:rPr>
        <w:t>and ca. 15.552 Euro/Jahr betragen (2,00 Euro</w:t>
      </w:r>
      <w:r w:rsidR="00B20AE4" w:rsidRPr="001322FC">
        <w:rPr>
          <w:rFonts w:cs="Arial"/>
          <w:sz w:val="24"/>
          <w:szCs w:val="24"/>
        </w:rPr>
        <w:t xml:space="preserve"> x 72 qm x 9 WE x 12 Monate). Bei Leerzustand </w:t>
      </w:r>
      <w:r w:rsidR="00186688" w:rsidRPr="001322FC">
        <w:rPr>
          <w:rFonts w:cs="Arial"/>
          <w:sz w:val="24"/>
          <w:szCs w:val="24"/>
        </w:rPr>
        <w:t>der Wohnungen in</w:t>
      </w:r>
      <w:r w:rsidR="00F27ED5" w:rsidRPr="001322FC">
        <w:rPr>
          <w:rFonts w:cs="Arial"/>
          <w:sz w:val="24"/>
          <w:szCs w:val="24"/>
        </w:rPr>
        <w:t xml:space="preserve"> Jessen (Elster) OT</w:t>
      </w:r>
      <w:r w:rsidR="00186688" w:rsidRPr="001322FC">
        <w:rPr>
          <w:rFonts w:cs="Arial"/>
          <w:sz w:val="24"/>
          <w:szCs w:val="24"/>
        </w:rPr>
        <w:t xml:space="preserve"> Holzdorf </w:t>
      </w:r>
      <w:r w:rsidR="00B20AE4" w:rsidRPr="001322FC">
        <w:rPr>
          <w:rFonts w:cs="Arial"/>
          <w:sz w:val="24"/>
          <w:szCs w:val="24"/>
        </w:rPr>
        <w:t>belaufen sich die Kosten auf</w:t>
      </w:r>
      <w:r w:rsidR="004B4F3D">
        <w:rPr>
          <w:rFonts w:cs="Arial"/>
          <w:sz w:val="24"/>
          <w:szCs w:val="24"/>
        </w:rPr>
        <w:t xml:space="preserve">  ca. 5.000 Euro (250,00 Euro</w:t>
      </w:r>
      <w:r w:rsidR="00F27ED5" w:rsidRPr="001322FC">
        <w:rPr>
          <w:rFonts w:cs="Arial"/>
          <w:sz w:val="24"/>
          <w:szCs w:val="24"/>
        </w:rPr>
        <w:t xml:space="preserve"> x 9</w:t>
      </w:r>
      <w:r w:rsidR="00B20AE4" w:rsidRPr="001322FC">
        <w:rPr>
          <w:rFonts w:cs="Arial"/>
          <w:sz w:val="24"/>
          <w:szCs w:val="24"/>
        </w:rPr>
        <w:t xml:space="preserve"> WE).</w:t>
      </w:r>
      <w:r w:rsidR="007276CB" w:rsidRPr="001322FC">
        <w:rPr>
          <w:rFonts w:cs="Arial"/>
          <w:sz w:val="24"/>
          <w:szCs w:val="24"/>
        </w:rPr>
        <w:t xml:space="preserve"> </w:t>
      </w:r>
      <w:r w:rsidR="00B20AE4" w:rsidRPr="001322FC">
        <w:rPr>
          <w:rFonts w:cs="Arial"/>
          <w:sz w:val="24"/>
          <w:szCs w:val="24"/>
        </w:rPr>
        <w:t xml:space="preserve">Das ergibt bei einer Belegung zusätzliche </w:t>
      </w:r>
      <w:r w:rsidR="00F27ED5" w:rsidRPr="001322FC">
        <w:rPr>
          <w:rFonts w:cs="Arial"/>
          <w:sz w:val="24"/>
          <w:szCs w:val="24"/>
        </w:rPr>
        <w:t>Heizkosten von insgesamt ca. 13.3</w:t>
      </w:r>
      <w:r w:rsidR="004B4F3D">
        <w:rPr>
          <w:rFonts w:cs="Arial"/>
          <w:sz w:val="24"/>
          <w:szCs w:val="24"/>
        </w:rPr>
        <w:t>52 Euro</w:t>
      </w:r>
      <w:r w:rsidR="00B20AE4" w:rsidRPr="001322FC">
        <w:rPr>
          <w:rFonts w:cs="Arial"/>
          <w:sz w:val="24"/>
          <w:szCs w:val="24"/>
        </w:rPr>
        <w:t>.</w:t>
      </w:r>
      <w:r w:rsidR="007276CB" w:rsidRPr="001322FC">
        <w:rPr>
          <w:rFonts w:cs="Arial"/>
          <w:sz w:val="24"/>
          <w:szCs w:val="24"/>
        </w:rPr>
        <w:t xml:space="preserve"> </w:t>
      </w:r>
      <w:r w:rsidR="00F27ED5" w:rsidRPr="001322FC">
        <w:rPr>
          <w:rFonts w:cs="Arial"/>
          <w:sz w:val="24"/>
          <w:szCs w:val="24"/>
        </w:rPr>
        <w:t>Bereits h</w:t>
      </w:r>
      <w:r w:rsidR="00186688" w:rsidRPr="001322FC">
        <w:rPr>
          <w:rFonts w:cs="Arial"/>
          <w:sz w:val="24"/>
          <w:szCs w:val="24"/>
        </w:rPr>
        <w:t>ierdurch</w:t>
      </w:r>
      <w:r w:rsidR="00B20AE4" w:rsidRPr="001322FC">
        <w:rPr>
          <w:rFonts w:cs="Arial"/>
          <w:sz w:val="24"/>
          <w:szCs w:val="24"/>
        </w:rPr>
        <w:t xml:space="preserve"> würden Mehrkosten entstehen</w:t>
      </w:r>
      <w:r w:rsidR="00F27ED5" w:rsidRPr="001322FC">
        <w:rPr>
          <w:rFonts w:cs="Arial"/>
          <w:sz w:val="24"/>
          <w:szCs w:val="24"/>
        </w:rPr>
        <w:t xml:space="preserve"> ohne eine Grundbeheizung des ÜWH zu berücksichtigen</w:t>
      </w:r>
      <w:r w:rsidR="00B20AE4" w:rsidRPr="001322FC">
        <w:rPr>
          <w:rFonts w:cs="Arial"/>
          <w:sz w:val="24"/>
          <w:szCs w:val="24"/>
        </w:rPr>
        <w:t>.</w:t>
      </w:r>
    </w:p>
    <w:p w:rsidR="00186688" w:rsidRPr="001322FC" w:rsidRDefault="00B20AE4" w:rsidP="001322FC">
      <w:pPr>
        <w:pStyle w:val="KeinLeerraum"/>
        <w:spacing w:line="276" w:lineRule="auto"/>
        <w:jc w:val="both"/>
        <w:rPr>
          <w:rFonts w:cs="Arial"/>
          <w:sz w:val="24"/>
          <w:szCs w:val="24"/>
        </w:rPr>
      </w:pPr>
      <w:r w:rsidRPr="001322FC">
        <w:rPr>
          <w:rFonts w:cs="Arial"/>
          <w:sz w:val="24"/>
          <w:szCs w:val="24"/>
        </w:rPr>
        <w:t>In beiden Fällen hat die Höhe der sonstigen Betriebsko</w:t>
      </w:r>
      <w:r w:rsidR="00856C81">
        <w:rPr>
          <w:rFonts w:cs="Arial"/>
          <w:sz w:val="24"/>
          <w:szCs w:val="24"/>
        </w:rPr>
        <w:t>sten (Wasser, Abwasser, Strom etc</w:t>
      </w:r>
      <w:r w:rsidRPr="001322FC">
        <w:rPr>
          <w:rFonts w:cs="Arial"/>
          <w:sz w:val="24"/>
          <w:szCs w:val="24"/>
        </w:rPr>
        <w:t>.) kaum Auswirkungen, da das Verbrauchsverhalten der Bewohner ähnlich sein wird.</w:t>
      </w:r>
      <w:r w:rsidR="00186688" w:rsidRPr="001322FC">
        <w:rPr>
          <w:rFonts w:cs="Arial"/>
          <w:sz w:val="24"/>
          <w:szCs w:val="24"/>
        </w:rPr>
        <w:t xml:space="preserve"> </w:t>
      </w:r>
    </w:p>
    <w:p w:rsidR="00B20AE4" w:rsidRPr="001322FC" w:rsidRDefault="00186688" w:rsidP="001322FC">
      <w:pPr>
        <w:pStyle w:val="KeinLeerraum"/>
        <w:spacing w:line="276" w:lineRule="auto"/>
        <w:jc w:val="both"/>
        <w:rPr>
          <w:rFonts w:cs="Arial"/>
          <w:sz w:val="24"/>
          <w:szCs w:val="24"/>
        </w:rPr>
      </w:pPr>
      <w:r w:rsidRPr="001322FC">
        <w:rPr>
          <w:rFonts w:cs="Arial"/>
          <w:sz w:val="24"/>
          <w:szCs w:val="24"/>
        </w:rPr>
        <w:t>Zudem befürwortet das Landesverwaltungsamt die Nutzung von Übergangswohnheimen wegen der hohen Flexibilität und der Bündelung der Betreuung.</w:t>
      </w:r>
    </w:p>
    <w:p w:rsidR="00242C29" w:rsidRPr="001322FC" w:rsidRDefault="00242C29" w:rsidP="001322FC">
      <w:pPr>
        <w:pStyle w:val="KeinLeerraum"/>
        <w:spacing w:line="276" w:lineRule="auto"/>
        <w:jc w:val="both"/>
        <w:rPr>
          <w:rFonts w:cs="Arial"/>
          <w:sz w:val="24"/>
          <w:szCs w:val="24"/>
        </w:rPr>
      </w:pPr>
    </w:p>
    <w:p w:rsidR="00BA49AF" w:rsidRDefault="00242C29" w:rsidP="001322FC">
      <w:pPr>
        <w:spacing w:after="0"/>
        <w:jc w:val="both"/>
        <w:rPr>
          <w:rFonts w:cs="Arial"/>
          <w:sz w:val="24"/>
          <w:szCs w:val="24"/>
        </w:rPr>
      </w:pPr>
      <w:r w:rsidRPr="001322FC">
        <w:rPr>
          <w:rFonts w:cs="Arial"/>
          <w:sz w:val="24"/>
          <w:szCs w:val="24"/>
        </w:rPr>
        <w:t>Weiterhin erfolgte eine Minimierung der Personalkosten durch Verzicht auf Ersatzbesetzung</w:t>
      </w:r>
      <w:r w:rsidR="00B94DAC" w:rsidRPr="001322FC">
        <w:rPr>
          <w:rFonts w:cs="Arial"/>
          <w:sz w:val="24"/>
          <w:szCs w:val="24"/>
        </w:rPr>
        <w:t xml:space="preserve"> </w:t>
      </w:r>
      <w:r w:rsidRPr="001322FC">
        <w:rPr>
          <w:rFonts w:cs="Arial"/>
          <w:sz w:val="24"/>
          <w:szCs w:val="24"/>
        </w:rPr>
        <w:t>für Elternzeiten, durch auf Anregung des Arbeitgebers erfolgte Bewerbungen einiger Mitarbeiter auf freie Stellen innerhalb der Verwaltung und dadurch realisierte Umsetzungen in andere Bereiche der Verwaltung und durch</w:t>
      </w:r>
      <w:r w:rsidR="00F27ED5" w:rsidRPr="001322FC">
        <w:rPr>
          <w:rFonts w:cs="Arial"/>
          <w:sz w:val="24"/>
          <w:szCs w:val="24"/>
        </w:rPr>
        <w:t xml:space="preserve"> Auslaufen</w:t>
      </w:r>
      <w:r w:rsidRPr="001322FC">
        <w:rPr>
          <w:rFonts w:cs="Arial"/>
          <w:sz w:val="24"/>
          <w:szCs w:val="24"/>
        </w:rPr>
        <w:t xml:space="preserve"> der Personalüberlassung.</w:t>
      </w:r>
    </w:p>
    <w:p w:rsidR="001322FC" w:rsidRPr="001322FC" w:rsidRDefault="001322FC" w:rsidP="001322FC">
      <w:pPr>
        <w:spacing w:after="0"/>
        <w:jc w:val="both"/>
        <w:rPr>
          <w:rFonts w:cs="Arial"/>
          <w:sz w:val="24"/>
          <w:szCs w:val="24"/>
        </w:rPr>
      </w:pPr>
    </w:p>
    <w:p w:rsidR="00BA49AF" w:rsidRPr="001322FC" w:rsidRDefault="009439AB" w:rsidP="001322FC">
      <w:pPr>
        <w:pStyle w:val="berschrift1"/>
        <w:spacing w:before="0" w:after="240"/>
      </w:pPr>
      <w:bookmarkStart w:id="5" w:name="_Toc461620950"/>
      <w:bookmarkStart w:id="6" w:name="_Toc487549779"/>
      <w:r w:rsidRPr="0023573C">
        <w:t xml:space="preserve">Fazit </w:t>
      </w:r>
      <w:bookmarkEnd w:id="5"/>
      <w:bookmarkEnd w:id="6"/>
    </w:p>
    <w:p w:rsidR="00F27ED5" w:rsidRPr="001322FC" w:rsidRDefault="00F27ED5" w:rsidP="001322FC">
      <w:pPr>
        <w:spacing w:after="0"/>
        <w:jc w:val="both"/>
        <w:rPr>
          <w:sz w:val="24"/>
          <w:szCs w:val="24"/>
        </w:rPr>
      </w:pPr>
      <w:r w:rsidRPr="001322FC">
        <w:rPr>
          <w:sz w:val="24"/>
          <w:szCs w:val="24"/>
        </w:rPr>
        <w:t xml:space="preserve">Die Gesamtübersicht der Kosten aller Aufnahmekommunen im Land Sachsen-Anhalt belegt, dass der Landkreis Wittenberg derzeit überdurchschnittliche Kosten aufweist. Die ursprüngliche Planungsannahme, dass die Kostenpauschale des Landes für die Aufgabenerfüllung auskömmlich sein muss, wurde sowohl im Haushaltsjahr 2015 als auch im Haushaltsjahr 2016 nicht eingehalten. </w:t>
      </w:r>
    </w:p>
    <w:p w:rsidR="00F27ED5" w:rsidRPr="001322FC" w:rsidRDefault="00F27ED5" w:rsidP="001322FC">
      <w:pPr>
        <w:spacing w:after="0"/>
        <w:jc w:val="both"/>
        <w:rPr>
          <w:sz w:val="24"/>
          <w:szCs w:val="24"/>
        </w:rPr>
      </w:pPr>
      <w:r w:rsidRPr="001322FC">
        <w:rPr>
          <w:sz w:val="24"/>
          <w:szCs w:val="24"/>
        </w:rPr>
        <w:t>Ein finanzieller Schaden ist dem Landkreis Wittenberg daraus allerdings nicht entstanden, da sich das Land bisher bereit erklärt hat, entweder die tatsächlich entstanden Kosten zu erstatten (Haushaltsjahr 2015) oder neben der Kostenpauschale einen einmaligen Aufschlag von 20% zu berücksichtigen (Haushaltsjahr 2016).</w:t>
      </w:r>
    </w:p>
    <w:p w:rsidR="00F27ED5" w:rsidRPr="001322FC" w:rsidRDefault="00F27ED5" w:rsidP="001322FC">
      <w:pPr>
        <w:spacing w:after="0"/>
        <w:jc w:val="both"/>
        <w:rPr>
          <w:sz w:val="24"/>
          <w:szCs w:val="24"/>
        </w:rPr>
      </w:pPr>
      <w:r w:rsidRPr="001322FC">
        <w:rPr>
          <w:sz w:val="24"/>
          <w:szCs w:val="24"/>
        </w:rPr>
        <w:t>Es ist jedoch davon auszugehen, dass das Land zukünftig keine zusätzlichen Erstattungen neben der Kopfpauschale leisten wird, um die Aufgabenträger zu einer wirtschaftlichen Aufgabenerfüllung zu animieren. Daher sind weitere Anstrengungen des Landkreises Wittenberg unerlässlich, um mit der Kostenpauschale die Aufgabe vollumfänglich zu erfüllen.</w:t>
      </w:r>
    </w:p>
    <w:p w:rsidR="00F27ED5" w:rsidRPr="001322FC" w:rsidRDefault="00F27ED5" w:rsidP="001322FC">
      <w:pPr>
        <w:spacing w:after="0"/>
        <w:jc w:val="both"/>
        <w:rPr>
          <w:sz w:val="24"/>
          <w:szCs w:val="24"/>
        </w:rPr>
      </w:pPr>
    </w:p>
    <w:p w:rsidR="00F27ED5" w:rsidRPr="001322FC" w:rsidRDefault="00F27ED5" w:rsidP="001322FC">
      <w:pPr>
        <w:spacing w:after="0"/>
        <w:jc w:val="both"/>
        <w:rPr>
          <w:sz w:val="24"/>
          <w:szCs w:val="24"/>
        </w:rPr>
      </w:pPr>
      <w:r w:rsidRPr="001322FC">
        <w:rPr>
          <w:sz w:val="24"/>
          <w:szCs w:val="24"/>
        </w:rPr>
        <w:t>Es ist schwierig, die Fixkosten der Verwaltung schnell an veränderte Flüchtlingszahlen anzupassen. Sowohl das notwendige Personal als auch die notwendigen Unterbringungskapazitäten sind längerfristig an den Landkreis Wittenberg gebunden, so dass keine Flexibilität besteht. Hier muss durch genauere Prognosen und flexiblere Vertragsgestaltungen auf veränderte Bedarfe reagiert werden.</w:t>
      </w:r>
    </w:p>
    <w:p w:rsidR="00F27ED5" w:rsidRPr="001322FC" w:rsidRDefault="00F27ED5" w:rsidP="001322FC">
      <w:pPr>
        <w:spacing w:after="0"/>
        <w:jc w:val="both"/>
        <w:rPr>
          <w:sz w:val="24"/>
          <w:szCs w:val="24"/>
        </w:rPr>
      </w:pPr>
    </w:p>
    <w:p w:rsidR="00F27ED5" w:rsidRPr="001322FC" w:rsidRDefault="00F27ED5" w:rsidP="001322FC">
      <w:pPr>
        <w:spacing w:after="0"/>
        <w:jc w:val="both"/>
        <w:rPr>
          <w:sz w:val="24"/>
          <w:szCs w:val="24"/>
        </w:rPr>
      </w:pPr>
      <w:r w:rsidRPr="001322FC">
        <w:rPr>
          <w:sz w:val="24"/>
          <w:szCs w:val="24"/>
        </w:rPr>
        <w:t>Die Maßnahmen zur Kostensenkung, die im Punkt 3 aufgeführt wurden, werden auch in den kommenden Monaten fortgeführt und bei Bedarf erweitert.</w:t>
      </w:r>
    </w:p>
    <w:p w:rsidR="00F27ED5" w:rsidRPr="001322FC" w:rsidRDefault="00F27ED5" w:rsidP="001322FC">
      <w:pPr>
        <w:spacing w:after="0"/>
        <w:jc w:val="both"/>
        <w:rPr>
          <w:sz w:val="24"/>
          <w:szCs w:val="24"/>
        </w:rPr>
      </w:pPr>
    </w:p>
    <w:p w:rsidR="00F27ED5" w:rsidRPr="001322FC" w:rsidRDefault="00F27ED5" w:rsidP="001322FC">
      <w:pPr>
        <w:spacing w:after="0"/>
        <w:jc w:val="both"/>
        <w:rPr>
          <w:sz w:val="24"/>
          <w:szCs w:val="24"/>
        </w:rPr>
      </w:pPr>
      <w:r w:rsidRPr="001322FC">
        <w:rPr>
          <w:sz w:val="24"/>
          <w:szCs w:val="24"/>
        </w:rPr>
        <w:t xml:space="preserve">Zu berücksichtigen ist jedoch, dass eine Kostensenkung zwangläufig zu anderweitigen Zielkonflikten führt. Beispielsweise könnten zur Leerstandsvermeidung sämtliche Wohnungen mit unbefristeten Mietverträgen fristgerecht gekündigt werden. Dies hätte zur Folge, dass in der Lutherstadt Wittenberg kaum noch Flüchtlinge untergebracht werden. Der Landkreis würde dann die Flüchtlinge in Vockerode und Jessen (Elster) OT Holzdorf konzentrieren müssen. </w:t>
      </w:r>
    </w:p>
    <w:p w:rsidR="00F27ED5" w:rsidRPr="001322FC" w:rsidRDefault="00F27ED5" w:rsidP="001322FC">
      <w:pPr>
        <w:spacing w:after="0"/>
        <w:jc w:val="both"/>
        <w:rPr>
          <w:sz w:val="24"/>
          <w:szCs w:val="24"/>
        </w:rPr>
      </w:pPr>
    </w:p>
    <w:p w:rsidR="00F27ED5" w:rsidRPr="001322FC" w:rsidRDefault="00F27ED5" w:rsidP="001322FC">
      <w:pPr>
        <w:spacing w:after="0"/>
        <w:jc w:val="both"/>
        <w:rPr>
          <w:sz w:val="24"/>
          <w:szCs w:val="24"/>
        </w:rPr>
      </w:pPr>
      <w:r w:rsidRPr="001322FC">
        <w:rPr>
          <w:sz w:val="24"/>
          <w:szCs w:val="24"/>
        </w:rPr>
        <w:t xml:space="preserve">Ursprüngliches Ziel der Asylpolitik des Landkreises Wittenberg war </w:t>
      </w:r>
      <w:r w:rsidRPr="001322FC">
        <w:rPr>
          <w:strike/>
          <w:sz w:val="24"/>
          <w:szCs w:val="24"/>
        </w:rPr>
        <w:t>ist</w:t>
      </w:r>
      <w:r w:rsidRPr="001322FC">
        <w:rPr>
          <w:sz w:val="24"/>
          <w:szCs w:val="24"/>
        </w:rPr>
        <w:t xml:space="preserve"> es, die nicht dauerhaft aufenthaltsberechtigten Ausländer und die Ausländer mit einem Aufenthaltstitel  orientierend an den Einwohnerzahlen der Kommunen möglichst gleichmäßig im Landkreis zu verteilen. Durch den starken Rückgang der Zuweisungszahlen kann dieses Ziel nicht mehr eingehalten werden.</w:t>
      </w:r>
    </w:p>
    <w:p w:rsidR="00F27ED5" w:rsidRPr="001322FC" w:rsidRDefault="00F27ED5" w:rsidP="001322FC">
      <w:pPr>
        <w:spacing w:after="0"/>
        <w:jc w:val="both"/>
        <w:rPr>
          <w:sz w:val="24"/>
          <w:szCs w:val="24"/>
        </w:rPr>
      </w:pPr>
      <w:r w:rsidRPr="001322FC">
        <w:rPr>
          <w:sz w:val="24"/>
          <w:szCs w:val="24"/>
        </w:rPr>
        <w:t>Bis Mitte März 2016 war der Landkreis Wittenberg durch flächendeckende Anmietung von Wohnungen und Objekten im gesamten Kreisgebiet in die Lage versetzt, für alle aufzunehmenden Asylbewerber eine entsprechende Unterbringung, Versorgung und soziale Betreuung sicherzustellen.</w:t>
      </w:r>
    </w:p>
    <w:p w:rsidR="001322FC" w:rsidRDefault="001322FC" w:rsidP="00F27ED5">
      <w:pPr>
        <w:spacing w:after="0" w:line="240" w:lineRule="auto"/>
        <w:jc w:val="both"/>
        <w:rPr>
          <w:sz w:val="24"/>
          <w:szCs w:val="24"/>
        </w:rPr>
      </w:pPr>
      <w:r>
        <w:rPr>
          <w:sz w:val="24"/>
          <w:szCs w:val="24"/>
        </w:rPr>
        <w:br w:type="page"/>
      </w:r>
    </w:p>
    <w:p w:rsidR="00E91180" w:rsidRDefault="00E91180" w:rsidP="00F27ED5">
      <w:pPr>
        <w:spacing w:after="0" w:line="240" w:lineRule="auto"/>
        <w:jc w:val="both"/>
        <w:rPr>
          <w:sz w:val="24"/>
          <w:szCs w:val="24"/>
        </w:rPr>
      </w:pPr>
    </w:p>
    <w:p w:rsidR="00E91180" w:rsidRPr="001322FC" w:rsidRDefault="00E91180" w:rsidP="001322FC">
      <w:pPr>
        <w:pStyle w:val="berschrift1"/>
        <w:spacing w:before="0" w:after="240"/>
      </w:pPr>
      <w:r>
        <w:t>Ausblick</w:t>
      </w:r>
    </w:p>
    <w:p w:rsidR="00BA49AF" w:rsidRDefault="00BA49AF" w:rsidP="001322FC">
      <w:pPr>
        <w:spacing w:after="0"/>
        <w:jc w:val="both"/>
        <w:rPr>
          <w:sz w:val="24"/>
          <w:szCs w:val="24"/>
        </w:rPr>
      </w:pPr>
      <w:r>
        <w:rPr>
          <w:sz w:val="24"/>
          <w:szCs w:val="24"/>
        </w:rPr>
        <w:t>Anhand der nachfolgenden Grafik</w:t>
      </w:r>
      <w:r w:rsidRPr="00492720">
        <w:rPr>
          <w:sz w:val="24"/>
          <w:szCs w:val="24"/>
        </w:rPr>
        <w:t xml:space="preserve"> </w:t>
      </w:r>
      <w:r>
        <w:rPr>
          <w:sz w:val="24"/>
          <w:szCs w:val="24"/>
        </w:rPr>
        <w:t xml:space="preserve">wird zunächst </w:t>
      </w:r>
      <w:r w:rsidRPr="00492720">
        <w:rPr>
          <w:sz w:val="24"/>
          <w:szCs w:val="24"/>
        </w:rPr>
        <w:t xml:space="preserve">die </w:t>
      </w:r>
      <w:r w:rsidRPr="0023573C">
        <w:rPr>
          <w:sz w:val="24"/>
          <w:szCs w:val="24"/>
        </w:rPr>
        <w:t xml:space="preserve">Entwicklung der „Prosoz“- Fall-/Personenzahlen lt. für </w:t>
      </w:r>
      <w:r w:rsidR="00E65693">
        <w:rPr>
          <w:sz w:val="24"/>
          <w:szCs w:val="24"/>
        </w:rPr>
        <w:t>den Zeitraum 01/2016</w:t>
      </w:r>
      <w:r w:rsidR="00D11581">
        <w:rPr>
          <w:sz w:val="24"/>
          <w:szCs w:val="24"/>
        </w:rPr>
        <w:t xml:space="preserve"> bis 06/2017</w:t>
      </w:r>
      <w:r w:rsidRPr="0023573C">
        <w:rPr>
          <w:sz w:val="24"/>
          <w:szCs w:val="24"/>
        </w:rPr>
        <w:t xml:space="preserve"> dar</w:t>
      </w:r>
      <w:r w:rsidR="00D11581">
        <w:rPr>
          <w:sz w:val="24"/>
          <w:szCs w:val="24"/>
        </w:rPr>
        <w:t>ge</w:t>
      </w:r>
      <w:r w:rsidRPr="0023573C">
        <w:rPr>
          <w:sz w:val="24"/>
          <w:szCs w:val="24"/>
        </w:rPr>
        <w:t xml:space="preserve">stellt. </w:t>
      </w:r>
    </w:p>
    <w:p w:rsidR="00E40D5B" w:rsidRPr="0023573C" w:rsidRDefault="00E40D5B" w:rsidP="00BA49AF">
      <w:pPr>
        <w:spacing w:after="0" w:line="240" w:lineRule="auto"/>
        <w:jc w:val="both"/>
        <w:rPr>
          <w:szCs w:val="20"/>
        </w:rPr>
      </w:pPr>
    </w:p>
    <w:p w:rsidR="007276CB" w:rsidRPr="007276CB" w:rsidRDefault="007276CB" w:rsidP="00BA49AF">
      <w:pPr>
        <w:spacing w:after="0" w:line="240" w:lineRule="auto"/>
        <w:jc w:val="both"/>
        <w:rPr>
          <w:color w:val="00B0F0"/>
          <w:sz w:val="24"/>
          <w:szCs w:val="24"/>
        </w:rPr>
      </w:pPr>
      <w:r>
        <w:rPr>
          <w:noProof/>
          <w:lang w:eastAsia="de-DE"/>
        </w:rPr>
        <w:drawing>
          <wp:inline distT="0" distB="0" distL="0" distR="0" wp14:anchorId="6BACC142" wp14:editId="5D7F012D">
            <wp:extent cx="5684808" cy="3338423"/>
            <wp:effectExtent l="0" t="0" r="11430" b="1460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49AF" w:rsidRPr="000D6664" w:rsidRDefault="00BA49AF" w:rsidP="00BA49AF">
      <w:pPr>
        <w:spacing w:after="0" w:line="240" w:lineRule="auto"/>
        <w:jc w:val="both"/>
        <w:rPr>
          <w:sz w:val="24"/>
          <w:szCs w:val="24"/>
        </w:rPr>
      </w:pPr>
    </w:p>
    <w:p w:rsidR="00D11581" w:rsidRDefault="00D11581" w:rsidP="001322FC">
      <w:pPr>
        <w:spacing w:after="0"/>
        <w:jc w:val="both"/>
        <w:rPr>
          <w:sz w:val="24"/>
          <w:szCs w:val="24"/>
        </w:rPr>
      </w:pPr>
      <w:r>
        <w:rPr>
          <w:sz w:val="24"/>
          <w:szCs w:val="24"/>
        </w:rPr>
        <w:t>Die Entwicklung der Flüchtlingszahlen kann nicht sicher vorhergesagt werde</w:t>
      </w:r>
      <w:r w:rsidR="00E91180">
        <w:rPr>
          <w:sz w:val="24"/>
          <w:szCs w:val="24"/>
        </w:rPr>
        <w:t>n. Der Bund hat hierzu keine verwertbaren</w:t>
      </w:r>
      <w:r>
        <w:rPr>
          <w:sz w:val="24"/>
          <w:szCs w:val="24"/>
        </w:rPr>
        <w:t xml:space="preserve"> Prognosen aufgestellt.</w:t>
      </w:r>
    </w:p>
    <w:p w:rsidR="00727CA5" w:rsidRDefault="00D11581" w:rsidP="001322FC">
      <w:pPr>
        <w:spacing w:after="0"/>
        <w:jc w:val="both"/>
        <w:rPr>
          <w:sz w:val="24"/>
          <w:szCs w:val="24"/>
        </w:rPr>
      </w:pPr>
      <w:r>
        <w:rPr>
          <w:sz w:val="24"/>
          <w:szCs w:val="24"/>
        </w:rPr>
        <w:t xml:space="preserve">Das Land Sachsen-Anhalt hat zumindest anhand der letztjährigen Entwicklung eine vorsichtige Prognose aufgestellt. Danach rechnet das Land Sachsen-Anhalt in den Jahren 2017 und 2018 mit konstanten Zuweisungen von 5.600 Personen jährlich. </w:t>
      </w:r>
      <w:r w:rsidR="00A433A2">
        <w:rPr>
          <w:sz w:val="24"/>
          <w:szCs w:val="24"/>
        </w:rPr>
        <w:t xml:space="preserve">Auf Basis diese Annahme wurde prognostiziert, dass dem Landkreis Wittenberg 346 nicht dauerhaft Bleibeberechtigte zugewiesen werden müssten. </w:t>
      </w:r>
      <w:r>
        <w:rPr>
          <w:sz w:val="24"/>
          <w:szCs w:val="24"/>
        </w:rPr>
        <w:t xml:space="preserve">Diese Prognosen scheinen </w:t>
      </w:r>
      <w:r w:rsidR="00E91180">
        <w:rPr>
          <w:sz w:val="24"/>
          <w:szCs w:val="24"/>
        </w:rPr>
        <w:t xml:space="preserve">sich </w:t>
      </w:r>
      <w:r>
        <w:rPr>
          <w:sz w:val="24"/>
          <w:szCs w:val="24"/>
        </w:rPr>
        <w:t>zumindest für das Jahr 2017 aktuell zu bestätigen. Seit Jahresbeginn reisten monatlich ca. 15.000 neue Asylsuchende nach Deutschland ein.</w:t>
      </w:r>
      <w:r w:rsidR="00A433A2">
        <w:rPr>
          <w:sz w:val="24"/>
          <w:szCs w:val="24"/>
        </w:rPr>
        <w:t xml:space="preserve"> Nach dem Königsteiner Schlüssel würden auf Sachsen-Anhalt etwa 420 Personen monatlich entfallen; jährlich 5.040 Personen und damit auf den Landkreis Wittenberg 318 Personen. Nachdem Anfang 2017 erhebliche Zuweisungen e</w:t>
      </w:r>
      <w:r w:rsidR="00B94DAC">
        <w:rPr>
          <w:sz w:val="24"/>
          <w:szCs w:val="24"/>
        </w:rPr>
        <w:t>r</w:t>
      </w:r>
      <w:r w:rsidR="00A433A2">
        <w:rPr>
          <w:sz w:val="24"/>
          <w:szCs w:val="24"/>
        </w:rPr>
        <w:t>folgten, waren in der Folge kaum Transfer</w:t>
      </w:r>
      <w:r w:rsidR="00B94DAC">
        <w:rPr>
          <w:sz w:val="24"/>
          <w:szCs w:val="24"/>
        </w:rPr>
        <w:t>s</w:t>
      </w:r>
      <w:r w:rsidR="00A433A2">
        <w:rPr>
          <w:sz w:val="24"/>
          <w:szCs w:val="24"/>
        </w:rPr>
        <w:t xml:space="preserve"> zu verzeichnen. Dies hat sich seit Anfang Juli 2017 wieder gewandelt. Durch das Landesverwaltungsamt wurde die Aussage getroffen, dass aktuell die Asylbewerber verteilt werden, die vor 6 Monaten nach Deutschland eingereist sind. Diese Personen müssen nach 6-monatigem Aufenthalt in eine</w:t>
      </w:r>
      <w:r w:rsidR="00B94DAC">
        <w:rPr>
          <w:sz w:val="24"/>
          <w:szCs w:val="24"/>
        </w:rPr>
        <w:t>r</w:t>
      </w:r>
      <w:r w:rsidR="00A433A2">
        <w:rPr>
          <w:sz w:val="24"/>
          <w:szCs w:val="24"/>
        </w:rPr>
        <w:t xml:space="preserve"> Landesaufnahmeeinrichtung auf die Landkreise verteilt werden. </w:t>
      </w:r>
      <w:r w:rsidR="00614C87">
        <w:rPr>
          <w:sz w:val="24"/>
          <w:szCs w:val="24"/>
        </w:rPr>
        <w:t>Da</w:t>
      </w:r>
      <w:r w:rsidR="00A433A2">
        <w:rPr>
          <w:sz w:val="24"/>
          <w:szCs w:val="24"/>
        </w:rPr>
        <w:t xml:space="preserve"> seit Anfang 2017</w:t>
      </w:r>
      <w:r w:rsidR="00614C87">
        <w:rPr>
          <w:sz w:val="24"/>
          <w:szCs w:val="24"/>
        </w:rPr>
        <w:t xml:space="preserve"> monatlich ca. 15.000 Asylsuchende neu nach Deutschland eingereist sind, würde dies bedeuten, dass bis Jahresende regelmäßige Zuweisungen erfolgen müssten. Bereits oben wurde a</w:t>
      </w:r>
      <w:r w:rsidR="00727CA5">
        <w:rPr>
          <w:sz w:val="24"/>
          <w:szCs w:val="24"/>
        </w:rPr>
        <w:t>usgeführt, dass die Zuweisungen nicht gemäß der festgelegten Quote erfolgten, bestimmte Landkreise bzw. kreisfreie Städte überproportional begünstigt worden sind.</w:t>
      </w:r>
    </w:p>
    <w:p w:rsidR="00727CA5" w:rsidRDefault="00727CA5" w:rsidP="001322FC">
      <w:pPr>
        <w:spacing w:after="0"/>
        <w:jc w:val="both"/>
        <w:rPr>
          <w:sz w:val="24"/>
          <w:szCs w:val="24"/>
        </w:rPr>
      </w:pPr>
    </w:p>
    <w:p w:rsidR="00D11581" w:rsidRDefault="00727CA5" w:rsidP="001322FC">
      <w:pPr>
        <w:spacing w:after="0"/>
        <w:jc w:val="both"/>
        <w:rPr>
          <w:sz w:val="24"/>
          <w:szCs w:val="24"/>
        </w:rPr>
      </w:pPr>
      <w:r>
        <w:rPr>
          <w:sz w:val="24"/>
          <w:szCs w:val="24"/>
        </w:rPr>
        <w:t>Er</w:t>
      </w:r>
      <w:r w:rsidR="00E91180">
        <w:rPr>
          <w:sz w:val="24"/>
          <w:szCs w:val="24"/>
        </w:rPr>
        <w:t>fahrungsgemäß haben sich die Flü</w:t>
      </w:r>
      <w:r>
        <w:rPr>
          <w:sz w:val="24"/>
          <w:szCs w:val="24"/>
        </w:rPr>
        <w:t>cht</w:t>
      </w:r>
      <w:r w:rsidR="00E91180">
        <w:rPr>
          <w:sz w:val="24"/>
          <w:szCs w:val="24"/>
        </w:rPr>
        <w:t>lings</w:t>
      </w:r>
      <w:r>
        <w:rPr>
          <w:sz w:val="24"/>
          <w:szCs w:val="24"/>
        </w:rPr>
        <w:t>zahlen in den Sommermonaten erhöht. Nicht prognostizierbar sind zudem die Entwicklung in der Türkei und die Situation in Griechenland</w:t>
      </w:r>
      <w:r w:rsidR="001C261B">
        <w:rPr>
          <w:sz w:val="24"/>
          <w:szCs w:val="24"/>
        </w:rPr>
        <w:t xml:space="preserve"> und Italien. Beide Länder sehen sich nicht mehr in der Lage, die ankommenden Flüchtlinge aufzunehmen.</w:t>
      </w:r>
      <w:r w:rsidR="00A433A2">
        <w:rPr>
          <w:sz w:val="24"/>
          <w:szCs w:val="24"/>
        </w:rPr>
        <w:t xml:space="preserve"> </w:t>
      </w:r>
    </w:p>
    <w:p w:rsidR="00D11581" w:rsidRDefault="00D11581" w:rsidP="001322FC">
      <w:pPr>
        <w:spacing w:after="0"/>
        <w:jc w:val="both"/>
        <w:rPr>
          <w:sz w:val="24"/>
          <w:szCs w:val="24"/>
        </w:rPr>
      </w:pPr>
    </w:p>
    <w:p w:rsidR="00E91180" w:rsidRPr="00E91180" w:rsidRDefault="00E91180" w:rsidP="001322FC">
      <w:pPr>
        <w:spacing w:after="0"/>
        <w:jc w:val="both"/>
        <w:rPr>
          <w:sz w:val="24"/>
          <w:szCs w:val="24"/>
        </w:rPr>
      </w:pPr>
      <w:r w:rsidRPr="00E91180">
        <w:rPr>
          <w:sz w:val="24"/>
          <w:szCs w:val="24"/>
        </w:rPr>
        <w:t xml:space="preserve">Völlig ungeklärt sind die Zahlen und die Zuständigkeiten im Rahmen des Familiennachzuges von anerkannten Flüchtlingen. Die nachreisenden Personen fallen mangels Zuweisung nicht unter das Aufnahmegesetz. Ein Verlagern der Zuständigkeit für die nachreisenden Personen auf die Kommunen ist allerdings auch unwahrscheinlich. Hier bleibt also abzuwarten, welche Zuständigkeiten und welche Kostenerstattungsregelungen durch den Landesgesetzgeber getroffen werden. Der Landkreis Wittenberg wird für diesen Personenkreis entsprechend der Empfehlungen des Deutschen Städte- und Gemeindebundes eine gewisse Wohnraumreserve aus den Leerstandswohnungen  vorhalten. </w:t>
      </w:r>
    </w:p>
    <w:p w:rsidR="00BA49AF" w:rsidRPr="0023573C" w:rsidRDefault="00BA49AF" w:rsidP="001322FC">
      <w:pPr>
        <w:spacing w:after="0"/>
        <w:jc w:val="both"/>
        <w:rPr>
          <w:sz w:val="24"/>
          <w:szCs w:val="24"/>
        </w:rPr>
      </w:pPr>
    </w:p>
    <w:p w:rsidR="00BA49AF" w:rsidRPr="0023573C" w:rsidRDefault="00E91180" w:rsidP="001322FC">
      <w:pPr>
        <w:spacing w:after="0"/>
        <w:jc w:val="both"/>
        <w:rPr>
          <w:sz w:val="24"/>
          <w:szCs w:val="24"/>
        </w:rPr>
      </w:pPr>
      <w:r>
        <w:rPr>
          <w:sz w:val="24"/>
          <w:szCs w:val="24"/>
        </w:rPr>
        <w:t>Für weitere Prognosen und Planungen stellen d</w:t>
      </w:r>
      <w:r w:rsidR="00BA49AF" w:rsidRPr="0023573C">
        <w:rPr>
          <w:sz w:val="24"/>
          <w:szCs w:val="24"/>
        </w:rPr>
        <w:t>ie Fallzahlen das größte Problem dar</w:t>
      </w:r>
      <w:r>
        <w:rPr>
          <w:sz w:val="24"/>
          <w:szCs w:val="24"/>
        </w:rPr>
        <w:t xml:space="preserve">. </w:t>
      </w:r>
      <w:r w:rsidR="00BA49AF" w:rsidRPr="0023573C">
        <w:rPr>
          <w:sz w:val="24"/>
          <w:szCs w:val="24"/>
        </w:rPr>
        <w:t>Ohne konkrete</w:t>
      </w:r>
      <w:r>
        <w:rPr>
          <w:sz w:val="24"/>
          <w:szCs w:val="24"/>
        </w:rPr>
        <w:t>s Z</w:t>
      </w:r>
      <w:r w:rsidR="00BA49AF" w:rsidRPr="0023573C">
        <w:rPr>
          <w:sz w:val="24"/>
          <w:szCs w:val="24"/>
        </w:rPr>
        <w:t>ahlen</w:t>
      </w:r>
      <w:r>
        <w:rPr>
          <w:sz w:val="24"/>
          <w:szCs w:val="24"/>
        </w:rPr>
        <w:t xml:space="preserve">material wird </w:t>
      </w:r>
      <w:r w:rsidR="00BA49AF" w:rsidRPr="0023573C">
        <w:rPr>
          <w:sz w:val="24"/>
          <w:szCs w:val="24"/>
        </w:rPr>
        <w:t xml:space="preserve">es </w:t>
      </w:r>
      <w:r>
        <w:rPr>
          <w:sz w:val="24"/>
          <w:szCs w:val="24"/>
        </w:rPr>
        <w:t xml:space="preserve">immer </w:t>
      </w:r>
      <w:r w:rsidR="00BA49AF" w:rsidRPr="0023573C">
        <w:rPr>
          <w:sz w:val="24"/>
          <w:szCs w:val="24"/>
        </w:rPr>
        <w:t xml:space="preserve">schwierig </w:t>
      </w:r>
      <w:r>
        <w:rPr>
          <w:sz w:val="24"/>
          <w:szCs w:val="24"/>
        </w:rPr>
        <w:t xml:space="preserve">sein </w:t>
      </w:r>
      <w:r w:rsidR="00BA49AF" w:rsidRPr="0023573C">
        <w:rPr>
          <w:sz w:val="24"/>
          <w:szCs w:val="24"/>
        </w:rPr>
        <w:t xml:space="preserve">festzulegen, wie viele Wohnungen bzw. Wohnheimplätze sowie auch das betreuende Personal vorgehalten werden müssen. </w:t>
      </w:r>
    </w:p>
    <w:p w:rsidR="00BA49AF" w:rsidRDefault="00BA49AF" w:rsidP="001322FC">
      <w:pPr>
        <w:spacing w:after="0"/>
        <w:jc w:val="both"/>
        <w:rPr>
          <w:rFonts w:cs="Arial"/>
          <w:sz w:val="24"/>
          <w:szCs w:val="24"/>
        </w:rPr>
      </w:pPr>
    </w:p>
    <w:p w:rsidR="00E91180" w:rsidRPr="00E91180" w:rsidRDefault="00E91180" w:rsidP="001322FC">
      <w:pPr>
        <w:spacing w:after="0"/>
        <w:jc w:val="both"/>
        <w:rPr>
          <w:rFonts w:cs="Arial"/>
          <w:sz w:val="24"/>
          <w:szCs w:val="24"/>
        </w:rPr>
      </w:pPr>
      <w:r w:rsidRPr="00E91180">
        <w:rPr>
          <w:rFonts w:cs="Arial"/>
          <w:sz w:val="24"/>
          <w:szCs w:val="24"/>
        </w:rPr>
        <w:t>Für das Haushaltsjahr 2017 wird aktuell eine Fallzahl im Jahresdurchschnitt von 700 Personen prognostiziert. Unter Berücksichtigung der von den Landkreisen geforder</w:t>
      </w:r>
      <w:r w:rsidR="004B4F3D">
        <w:rPr>
          <w:rFonts w:cs="Arial"/>
          <w:sz w:val="24"/>
          <w:szCs w:val="24"/>
        </w:rPr>
        <w:t>ten Kostenpauschale von 11.000 Euro</w:t>
      </w:r>
      <w:r w:rsidRPr="00E91180">
        <w:rPr>
          <w:rFonts w:cs="Arial"/>
          <w:sz w:val="24"/>
          <w:szCs w:val="24"/>
        </w:rPr>
        <w:t xml:space="preserve"> pro Person ergibt sich ein Budge</w:t>
      </w:r>
      <w:r w:rsidR="00DA7DFF">
        <w:rPr>
          <w:rFonts w:cs="Arial"/>
          <w:sz w:val="24"/>
          <w:szCs w:val="24"/>
        </w:rPr>
        <w:t>t zur Aufgabenerfüllung von 7,7</w:t>
      </w:r>
      <w:r w:rsidR="004B4F3D">
        <w:rPr>
          <w:rFonts w:cs="Arial"/>
          <w:sz w:val="24"/>
          <w:szCs w:val="24"/>
        </w:rPr>
        <w:t xml:space="preserve"> Mio. Euro</w:t>
      </w:r>
      <w:r w:rsidRPr="00E91180">
        <w:rPr>
          <w:rFonts w:cs="Arial"/>
          <w:sz w:val="24"/>
          <w:szCs w:val="24"/>
        </w:rPr>
        <w:t>. Hinzu kommen Erträge aus Kostenersatzforderungen (30 T€)</w:t>
      </w:r>
      <w:r w:rsidR="00DA7DFF">
        <w:rPr>
          <w:rFonts w:cs="Arial"/>
          <w:sz w:val="24"/>
          <w:szCs w:val="24"/>
        </w:rPr>
        <w:t xml:space="preserve">, </w:t>
      </w:r>
      <w:r w:rsidR="00DA7DFF" w:rsidRPr="00E91180">
        <w:rPr>
          <w:rFonts w:cs="Arial"/>
          <w:sz w:val="24"/>
          <w:szCs w:val="24"/>
        </w:rPr>
        <w:t>aus Erstattungen für Krankenhilfeleistungen</w:t>
      </w:r>
      <w:r w:rsidR="00DA7DFF">
        <w:rPr>
          <w:rFonts w:cs="Arial"/>
          <w:sz w:val="24"/>
          <w:szCs w:val="24"/>
        </w:rPr>
        <w:t xml:space="preserve"> (150 T€)</w:t>
      </w:r>
      <w:r w:rsidRPr="00E91180">
        <w:rPr>
          <w:rFonts w:cs="Arial"/>
          <w:sz w:val="24"/>
          <w:szCs w:val="24"/>
        </w:rPr>
        <w:t xml:space="preserve"> und die Landeserstattung der gesonderten Beratung und Betreuung (144 T€).</w:t>
      </w:r>
    </w:p>
    <w:p w:rsidR="00E91180" w:rsidRPr="00E91180" w:rsidRDefault="00E91180" w:rsidP="001322FC">
      <w:pPr>
        <w:spacing w:after="0"/>
        <w:jc w:val="both"/>
        <w:rPr>
          <w:rFonts w:cs="Arial"/>
          <w:sz w:val="24"/>
          <w:szCs w:val="24"/>
        </w:rPr>
      </w:pPr>
      <w:r w:rsidRPr="00E91180">
        <w:rPr>
          <w:rFonts w:cs="Arial"/>
          <w:sz w:val="24"/>
          <w:szCs w:val="24"/>
        </w:rPr>
        <w:t>Die aktuelle Hochrechnung der Kosten (Prognose zum Quartalsbericht per 30.06.2017) ergibt folgende Werte:</w:t>
      </w:r>
    </w:p>
    <w:p w:rsidR="00E91180" w:rsidRPr="00E91180" w:rsidRDefault="00E91180" w:rsidP="00E91180">
      <w:pPr>
        <w:spacing w:after="0" w:line="240" w:lineRule="auto"/>
        <w:jc w:val="both"/>
        <w:rPr>
          <w:rFonts w:cs="Arial"/>
          <w:sz w:val="24"/>
          <w:szCs w:val="24"/>
        </w:rPr>
      </w:pPr>
    </w:p>
    <w:p w:rsidR="00E91180" w:rsidRPr="00E91180" w:rsidRDefault="00E91180" w:rsidP="001322FC">
      <w:pPr>
        <w:pStyle w:val="Listenabsatz"/>
        <w:numPr>
          <w:ilvl w:val="0"/>
          <w:numId w:val="20"/>
        </w:numPr>
        <w:spacing w:after="0"/>
        <w:jc w:val="both"/>
        <w:rPr>
          <w:rFonts w:cs="Arial"/>
          <w:sz w:val="24"/>
          <w:szCs w:val="24"/>
        </w:rPr>
      </w:pPr>
      <w:r w:rsidRPr="00E91180">
        <w:rPr>
          <w:rFonts w:cs="Arial"/>
          <w:sz w:val="24"/>
          <w:szCs w:val="24"/>
        </w:rPr>
        <w:t xml:space="preserve">Personalkosten 1,4 Mio. € </w:t>
      </w:r>
    </w:p>
    <w:p w:rsidR="00E91180" w:rsidRPr="00E91180" w:rsidRDefault="00E91180" w:rsidP="001322FC">
      <w:pPr>
        <w:pStyle w:val="Listenabsatz"/>
        <w:numPr>
          <w:ilvl w:val="0"/>
          <w:numId w:val="20"/>
        </w:numPr>
        <w:spacing w:after="0"/>
        <w:jc w:val="both"/>
        <w:rPr>
          <w:rFonts w:cs="Arial"/>
          <w:sz w:val="24"/>
          <w:szCs w:val="24"/>
        </w:rPr>
      </w:pPr>
      <w:r w:rsidRPr="00E91180">
        <w:rPr>
          <w:rFonts w:cs="Arial"/>
          <w:sz w:val="24"/>
          <w:szCs w:val="24"/>
        </w:rPr>
        <w:t>Regelleistungen 3,1 Mio. €</w:t>
      </w:r>
    </w:p>
    <w:p w:rsidR="00E91180" w:rsidRPr="00E91180" w:rsidRDefault="00E91180" w:rsidP="001322FC">
      <w:pPr>
        <w:pStyle w:val="Listenabsatz"/>
        <w:numPr>
          <w:ilvl w:val="0"/>
          <w:numId w:val="20"/>
        </w:numPr>
        <w:spacing w:after="0"/>
        <w:jc w:val="both"/>
        <w:rPr>
          <w:rFonts w:cs="Arial"/>
          <w:sz w:val="24"/>
          <w:szCs w:val="24"/>
        </w:rPr>
      </w:pPr>
      <w:r w:rsidRPr="00E91180">
        <w:rPr>
          <w:rFonts w:cs="Arial"/>
          <w:sz w:val="24"/>
          <w:szCs w:val="24"/>
        </w:rPr>
        <w:t>Unterbringungskosten 3,5 Mio. € (unter Berücksichtigung der Mieterträge der untergebrachten Flüchtlinge mit Titel)</w:t>
      </w:r>
    </w:p>
    <w:p w:rsidR="00E91180" w:rsidRPr="00E91180" w:rsidRDefault="00E91180" w:rsidP="001322FC">
      <w:pPr>
        <w:pStyle w:val="Listenabsatz"/>
        <w:numPr>
          <w:ilvl w:val="0"/>
          <w:numId w:val="20"/>
        </w:numPr>
        <w:spacing w:after="0"/>
        <w:jc w:val="both"/>
        <w:rPr>
          <w:rFonts w:cs="Arial"/>
          <w:sz w:val="24"/>
          <w:szCs w:val="24"/>
        </w:rPr>
      </w:pPr>
      <w:r w:rsidRPr="00E91180">
        <w:rPr>
          <w:rFonts w:cs="Arial"/>
          <w:sz w:val="24"/>
          <w:szCs w:val="24"/>
        </w:rPr>
        <w:t>Sonstige Kosten 1,4 Mio. €</w:t>
      </w:r>
    </w:p>
    <w:p w:rsidR="00E91180" w:rsidRPr="00E91180" w:rsidRDefault="00E91180" w:rsidP="001322FC">
      <w:pPr>
        <w:spacing w:after="0"/>
        <w:jc w:val="both"/>
        <w:rPr>
          <w:rFonts w:cs="Arial"/>
          <w:sz w:val="24"/>
          <w:szCs w:val="24"/>
        </w:rPr>
      </w:pPr>
    </w:p>
    <w:p w:rsidR="00E91180" w:rsidRPr="00E91180" w:rsidRDefault="00E91180" w:rsidP="001322FC">
      <w:pPr>
        <w:spacing w:after="0"/>
        <w:jc w:val="both"/>
        <w:rPr>
          <w:rFonts w:cs="Arial"/>
          <w:sz w:val="24"/>
          <w:szCs w:val="24"/>
        </w:rPr>
      </w:pPr>
      <w:r w:rsidRPr="00E91180">
        <w:rPr>
          <w:rFonts w:cs="Arial"/>
          <w:sz w:val="24"/>
          <w:szCs w:val="24"/>
        </w:rPr>
        <w:t>Die Gesamtkosten des Jahres 2017 bela</w:t>
      </w:r>
      <w:r w:rsidR="00DA7DFF">
        <w:rPr>
          <w:rFonts w:cs="Arial"/>
          <w:sz w:val="24"/>
          <w:szCs w:val="24"/>
        </w:rPr>
        <w:t>ufen sich wahrscheinlich auf 9,4</w:t>
      </w:r>
      <w:r w:rsidR="004B4F3D">
        <w:rPr>
          <w:rFonts w:cs="Arial"/>
          <w:sz w:val="24"/>
          <w:szCs w:val="24"/>
        </w:rPr>
        <w:t xml:space="preserve"> Mio. Euro</w:t>
      </w:r>
      <w:r w:rsidRPr="00E91180">
        <w:rPr>
          <w:rFonts w:cs="Arial"/>
          <w:sz w:val="24"/>
          <w:szCs w:val="24"/>
        </w:rPr>
        <w:t xml:space="preserve">, so dass aktuell eine Deckungslücke von rund </w:t>
      </w:r>
      <w:r w:rsidR="00DA7DFF">
        <w:rPr>
          <w:rFonts w:cs="Arial"/>
          <w:sz w:val="24"/>
          <w:szCs w:val="24"/>
        </w:rPr>
        <w:t>1,4</w:t>
      </w:r>
      <w:r w:rsidR="004B4F3D">
        <w:rPr>
          <w:rFonts w:cs="Arial"/>
          <w:sz w:val="24"/>
          <w:szCs w:val="24"/>
        </w:rPr>
        <w:t xml:space="preserve"> Mio. Euro</w:t>
      </w:r>
      <w:r w:rsidRPr="00E91180">
        <w:rPr>
          <w:rFonts w:cs="Arial"/>
          <w:sz w:val="24"/>
          <w:szCs w:val="24"/>
        </w:rPr>
        <w:t xml:space="preserve"> zu erwarten ist. Der Kostendeckungsgrad beträgt demnach lediglich </w:t>
      </w:r>
      <w:r w:rsidR="00DA7DFF">
        <w:rPr>
          <w:rFonts w:cs="Arial"/>
          <w:sz w:val="24"/>
          <w:szCs w:val="24"/>
        </w:rPr>
        <w:t xml:space="preserve">85,4 </w:t>
      </w:r>
      <w:r w:rsidRPr="00E91180">
        <w:rPr>
          <w:rFonts w:cs="Arial"/>
          <w:sz w:val="24"/>
          <w:szCs w:val="24"/>
        </w:rPr>
        <w:t xml:space="preserve">%. Eine Ursache ist die bereits beschriebene aktuelle Leerstandsquote von </w:t>
      </w:r>
      <w:r>
        <w:rPr>
          <w:rFonts w:cs="Arial"/>
          <w:sz w:val="24"/>
          <w:szCs w:val="24"/>
        </w:rPr>
        <w:t>50,6</w:t>
      </w:r>
      <w:r w:rsidRPr="00E91180">
        <w:rPr>
          <w:rFonts w:cs="Arial"/>
          <w:sz w:val="24"/>
          <w:szCs w:val="24"/>
        </w:rPr>
        <w:t xml:space="preserve"> %, welche nicht kurzfristig reduziert werden kann.</w:t>
      </w:r>
    </w:p>
    <w:p w:rsidR="00E91180" w:rsidRPr="00E91180" w:rsidRDefault="00E91180" w:rsidP="001322FC">
      <w:pPr>
        <w:spacing w:after="0"/>
        <w:jc w:val="both"/>
        <w:rPr>
          <w:rFonts w:cs="Arial"/>
          <w:sz w:val="24"/>
          <w:szCs w:val="24"/>
        </w:rPr>
      </w:pPr>
    </w:p>
    <w:p w:rsidR="00E91180" w:rsidRPr="00E91180" w:rsidRDefault="00E91180" w:rsidP="001322FC">
      <w:pPr>
        <w:spacing w:after="0"/>
        <w:jc w:val="both"/>
        <w:rPr>
          <w:rFonts w:cs="Arial"/>
          <w:sz w:val="24"/>
          <w:szCs w:val="24"/>
        </w:rPr>
      </w:pPr>
      <w:r w:rsidRPr="00E91180">
        <w:rPr>
          <w:rFonts w:cs="Arial"/>
          <w:sz w:val="24"/>
          <w:szCs w:val="24"/>
        </w:rPr>
        <w:t>Auch für die aktuelle Haushaltsplanung 2018 wurden bereits entsprechende Prognosen angestellt. Ausgehend von einer Fallzahl von 750 Personen, stehen aus der Pau</w:t>
      </w:r>
      <w:r w:rsidR="004B4F3D">
        <w:rPr>
          <w:rFonts w:cs="Arial"/>
          <w:sz w:val="24"/>
          <w:szCs w:val="24"/>
        </w:rPr>
        <w:t>schalerstattung rund 8,25 Mio. Euro</w:t>
      </w:r>
      <w:r w:rsidRPr="00E91180">
        <w:rPr>
          <w:rFonts w:cs="Arial"/>
          <w:sz w:val="24"/>
          <w:szCs w:val="24"/>
        </w:rPr>
        <w:t xml:space="preserve"> zur Verfügung. Weitere Erträge werden aus Kostenbeiträgen, aus Erstattungen für Krankenhilfeleistungen und aus der Erstattung für die gesonderte Beratung und Betreuung generiert. Insgesamt werden rund 8,7 Mio. </w:t>
      </w:r>
      <w:r w:rsidR="004B4F3D">
        <w:rPr>
          <w:rFonts w:cs="Arial"/>
          <w:sz w:val="24"/>
          <w:szCs w:val="24"/>
        </w:rPr>
        <w:t>Euro</w:t>
      </w:r>
      <w:r w:rsidRPr="00E91180">
        <w:rPr>
          <w:rFonts w:cs="Arial"/>
          <w:sz w:val="24"/>
          <w:szCs w:val="24"/>
        </w:rPr>
        <w:t xml:space="preserve"> zur Verfügung stehen.</w:t>
      </w:r>
    </w:p>
    <w:p w:rsidR="00E91180" w:rsidRPr="00E91180" w:rsidRDefault="00E91180" w:rsidP="001322FC">
      <w:pPr>
        <w:spacing w:after="0"/>
        <w:jc w:val="both"/>
        <w:rPr>
          <w:rFonts w:cs="Arial"/>
          <w:sz w:val="24"/>
          <w:szCs w:val="24"/>
        </w:rPr>
      </w:pPr>
      <w:r w:rsidRPr="00E91180">
        <w:rPr>
          <w:rFonts w:cs="Arial"/>
          <w:sz w:val="24"/>
          <w:szCs w:val="24"/>
        </w:rPr>
        <w:t>Kostenseitig sind folgende Entwicklungen zu erwarten:</w:t>
      </w:r>
    </w:p>
    <w:p w:rsidR="00E91180" w:rsidRPr="00E91180" w:rsidRDefault="00E91180" w:rsidP="001322FC">
      <w:pPr>
        <w:spacing w:after="0"/>
        <w:jc w:val="both"/>
        <w:rPr>
          <w:rFonts w:cs="Arial"/>
          <w:sz w:val="24"/>
          <w:szCs w:val="24"/>
        </w:rPr>
      </w:pPr>
    </w:p>
    <w:p w:rsidR="00E91180" w:rsidRPr="00E91180" w:rsidRDefault="00E91180" w:rsidP="001322FC">
      <w:pPr>
        <w:pStyle w:val="Listenabsatz"/>
        <w:numPr>
          <w:ilvl w:val="0"/>
          <w:numId w:val="20"/>
        </w:numPr>
        <w:spacing w:after="0"/>
        <w:jc w:val="both"/>
        <w:rPr>
          <w:rFonts w:cs="Arial"/>
          <w:sz w:val="24"/>
          <w:szCs w:val="20"/>
        </w:rPr>
      </w:pPr>
      <w:r w:rsidRPr="00E91180">
        <w:rPr>
          <w:rFonts w:cs="Arial"/>
          <w:sz w:val="24"/>
          <w:szCs w:val="20"/>
        </w:rPr>
        <w:t>Personalkosten 1,5 Mio. €</w:t>
      </w:r>
    </w:p>
    <w:p w:rsidR="00E91180" w:rsidRPr="00E91180" w:rsidRDefault="00E91180" w:rsidP="001322FC">
      <w:pPr>
        <w:pStyle w:val="Listenabsatz"/>
        <w:numPr>
          <w:ilvl w:val="0"/>
          <w:numId w:val="20"/>
        </w:numPr>
        <w:spacing w:after="0"/>
        <w:jc w:val="both"/>
        <w:rPr>
          <w:rFonts w:cs="Arial"/>
          <w:sz w:val="24"/>
          <w:szCs w:val="20"/>
        </w:rPr>
      </w:pPr>
      <w:r w:rsidRPr="00E91180">
        <w:rPr>
          <w:rFonts w:cs="Arial"/>
          <w:sz w:val="24"/>
          <w:szCs w:val="20"/>
        </w:rPr>
        <w:t>Regelleistungen 3,5 Mio. €</w:t>
      </w:r>
    </w:p>
    <w:p w:rsidR="00E91180" w:rsidRPr="00E91180" w:rsidRDefault="00E91180" w:rsidP="001322FC">
      <w:pPr>
        <w:pStyle w:val="Listenabsatz"/>
        <w:numPr>
          <w:ilvl w:val="0"/>
          <w:numId w:val="20"/>
        </w:numPr>
        <w:spacing w:after="0"/>
        <w:jc w:val="both"/>
        <w:rPr>
          <w:rFonts w:cs="Arial"/>
          <w:sz w:val="24"/>
          <w:szCs w:val="20"/>
        </w:rPr>
      </w:pPr>
      <w:r w:rsidRPr="00E91180">
        <w:rPr>
          <w:rFonts w:cs="Arial"/>
          <w:sz w:val="24"/>
          <w:szCs w:val="20"/>
        </w:rPr>
        <w:t>Unterbringungskosten 3,2 Mio. € (unter Berücksichtigung der Mieterträge der untergebrachten Flüchtlinge mit Titel)</w:t>
      </w:r>
    </w:p>
    <w:p w:rsidR="00E91180" w:rsidRPr="00E91180" w:rsidRDefault="00E91180" w:rsidP="001322FC">
      <w:pPr>
        <w:pStyle w:val="Listenabsatz"/>
        <w:numPr>
          <w:ilvl w:val="0"/>
          <w:numId w:val="20"/>
        </w:numPr>
        <w:spacing w:after="0"/>
        <w:jc w:val="both"/>
        <w:rPr>
          <w:rFonts w:cs="Arial"/>
          <w:sz w:val="24"/>
          <w:szCs w:val="20"/>
        </w:rPr>
      </w:pPr>
      <w:r w:rsidRPr="00E91180">
        <w:rPr>
          <w:rFonts w:cs="Arial"/>
          <w:sz w:val="24"/>
          <w:szCs w:val="20"/>
        </w:rPr>
        <w:t>Sonstige Kosten 0,5 Mio. €</w:t>
      </w:r>
    </w:p>
    <w:p w:rsidR="00E91180" w:rsidRPr="00E91180" w:rsidRDefault="00E91180" w:rsidP="001322FC">
      <w:pPr>
        <w:spacing w:after="0"/>
        <w:jc w:val="both"/>
        <w:rPr>
          <w:rFonts w:cs="Arial"/>
          <w:sz w:val="24"/>
          <w:szCs w:val="24"/>
        </w:rPr>
      </w:pPr>
    </w:p>
    <w:p w:rsidR="00E91180" w:rsidRPr="00E91180" w:rsidRDefault="00E91180" w:rsidP="001322FC">
      <w:pPr>
        <w:spacing w:after="0"/>
        <w:jc w:val="both"/>
        <w:rPr>
          <w:rFonts w:cs="Arial"/>
          <w:sz w:val="24"/>
          <w:szCs w:val="24"/>
        </w:rPr>
      </w:pPr>
      <w:r w:rsidRPr="00E91180">
        <w:rPr>
          <w:rFonts w:cs="Arial"/>
          <w:sz w:val="24"/>
          <w:szCs w:val="24"/>
        </w:rPr>
        <w:t>Damit wird planungsseitig eine Auskömmlichkeit der Pauschalerstattung unterstellt. Die Verwaltung wird im Rahmen der Ausführung des Haushaltsplanes und des Controllings alle Anstrengungen unternehmen, um diese Planungsannahme zu realisieren.</w:t>
      </w:r>
    </w:p>
    <w:p w:rsidR="00BA49AF" w:rsidRDefault="00BA49AF" w:rsidP="009439AB">
      <w:pPr>
        <w:spacing w:after="0" w:line="240" w:lineRule="auto"/>
        <w:jc w:val="both"/>
        <w:rPr>
          <w:rFonts w:cs="Arial"/>
          <w:sz w:val="24"/>
          <w:szCs w:val="24"/>
        </w:rPr>
      </w:pPr>
    </w:p>
    <w:p w:rsidR="00E91180" w:rsidRDefault="00E91180" w:rsidP="009439AB">
      <w:pPr>
        <w:spacing w:after="0" w:line="240" w:lineRule="auto"/>
        <w:jc w:val="both"/>
        <w:rPr>
          <w:rFonts w:cs="Arial"/>
          <w:sz w:val="24"/>
          <w:szCs w:val="24"/>
        </w:rPr>
      </w:pPr>
    </w:p>
    <w:p w:rsidR="001322FC" w:rsidRDefault="00D104A1" w:rsidP="009439AB">
      <w:pPr>
        <w:spacing w:after="0" w:line="240" w:lineRule="auto"/>
        <w:jc w:val="both"/>
        <w:rPr>
          <w:rFonts w:cs="Arial"/>
          <w:sz w:val="24"/>
          <w:szCs w:val="24"/>
        </w:rPr>
      </w:pPr>
      <w:r>
        <w:rPr>
          <w:rFonts w:cs="Arial"/>
          <w:sz w:val="24"/>
          <w:szCs w:val="24"/>
        </w:rPr>
        <w:t xml:space="preserve">Zusammenfassend ist anzumerken, dass die Entwicklung der Flüchtlingszahlen nicht vorhersehbar ist. Durch das einzuführende Controlling sind Aufwand und Nutzen stetig zu überwachen, damit kurzfristig auf Veränderungen reagiert werden kann, um zeitnah </w:t>
      </w:r>
      <w:r w:rsidR="00280AA9">
        <w:rPr>
          <w:rFonts w:cs="Arial"/>
          <w:sz w:val="24"/>
          <w:szCs w:val="24"/>
        </w:rPr>
        <w:t>eine</w:t>
      </w:r>
      <w:r>
        <w:rPr>
          <w:rFonts w:cs="Arial"/>
          <w:sz w:val="24"/>
          <w:szCs w:val="24"/>
        </w:rPr>
        <w:t xml:space="preserve"> Auskömmlichkeit der Landeszuweisungen </w:t>
      </w:r>
      <w:r w:rsidR="00280AA9">
        <w:rPr>
          <w:rFonts w:cs="Arial"/>
          <w:sz w:val="24"/>
          <w:szCs w:val="24"/>
        </w:rPr>
        <w:t>herbeizuführen</w:t>
      </w:r>
      <w:r>
        <w:rPr>
          <w:rFonts w:cs="Arial"/>
          <w:sz w:val="24"/>
          <w:szCs w:val="24"/>
        </w:rPr>
        <w:t>.</w:t>
      </w:r>
    </w:p>
    <w:p w:rsidR="001322FC" w:rsidRDefault="001322FC" w:rsidP="009439AB">
      <w:pPr>
        <w:spacing w:after="0" w:line="240" w:lineRule="auto"/>
        <w:jc w:val="both"/>
        <w:rPr>
          <w:rFonts w:cs="Arial"/>
          <w:sz w:val="24"/>
          <w:szCs w:val="24"/>
        </w:rPr>
      </w:pPr>
    </w:p>
    <w:p w:rsidR="001322FC" w:rsidRDefault="001322FC" w:rsidP="009439AB">
      <w:pPr>
        <w:spacing w:after="0" w:line="240" w:lineRule="auto"/>
        <w:jc w:val="both"/>
        <w:rPr>
          <w:rFonts w:cs="Arial"/>
          <w:sz w:val="24"/>
          <w:szCs w:val="24"/>
        </w:rPr>
      </w:pPr>
    </w:p>
    <w:p w:rsidR="009439AB" w:rsidRPr="002B473E" w:rsidRDefault="009439AB" w:rsidP="009439AB">
      <w:pPr>
        <w:spacing w:after="0" w:line="240" w:lineRule="auto"/>
        <w:jc w:val="both"/>
        <w:rPr>
          <w:rFonts w:cs="Arial"/>
          <w:color w:val="000000" w:themeColor="text1"/>
          <w:sz w:val="24"/>
          <w:szCs w:val="24"/>
        </w:rPr>
      </w:pPr>
    </w:p>
    <w:p w:rsidR="009439AB" w:rsidRPr="002B473E" w:rsidRDefault="009439AB" w:rsidP="009439AB">
      <w:pPr>
        <w:spacing w:after="0" w:line="240" w:lineRule="auto"/>
        <w:jc w:val="both"/>
        <w:rPr>
          <w:rFonts w:cs="Arial"/>
          <w:color w:val="000000" w:themeColor="text1"/>
          <w:sz w:val="24"/>
          <w:szCs w:val="24"/>
        </w:rPr>
      </w:pPr>
    </w:p>
    <w:p w:rsidR="009439AB" w:rsidRPr="002B473E" w:rsidRDefault="009439AB" w:rsidP="009439AB">
      <w:pPr>
        <w:pBdr>
          <w:bottom w:val="single" w:sz="4" w:space="1" w:color="auto"/>
        </w:pBdr>
        <w:spacing w:after="0" w:line="240" w:lineRule="auto"/>
        <w:jc w:val="both"/>
        <w:rPr>
          <w:rFonts w:eastAsiaTheme="majorEastAsia" w:cs="Arial"/>
          <w:b/>
          <w:bCs/>
          <w:sz w:val="24"/>
          <w:szCs w:val="28"/>
        </w:rPr>
      </w:pPr>
    </w:p>
    <w:p w:rsidR="009439AB" w:rsidRPr="002B473E" w:rsidRDefault="009439AB" w:rsidP="009439AB">
      <w:pPr>
        <w:spacing w:after="0" w:line="240" w:lineRule="auto"/>
        <w:jc w:val="both"/>
        <w:rPr>
          <w:rFonts w:eastAsiaTheme="majorEastAsia" w:cs="Arial"/>
          <w:bCs/>
          <w:sz w:val="24"/>
          <w:szCs w:val="28"/>
        </w:rPr>
      </w:pPr>
      <w:r w:rsidRPr="002B473E">
        <w:rPr>
          <w:rFonts w:eastAsiaTheme="majorEastAsia" w:cs="Arial"/>
          <w:bCs/>
          <w:sz w:val="24"/>
          <w:szCs w:val="28"/>
        </w:rPr>
        <w:t>Landkreis Wittenberg</w:t>
      </w:r>
      <w:r w:rsidRPr="002B473E">
        <w:rPr>
          <w:rFonts w:eastAsiaTheme="majorEastAsia" w:cs="Arial"/>
          <w:bCs/>
          <w:sz w:val="24"/>
          <w:szCs w:val="28"/>
        </w:rPr>
        <w:tab/>
      </w:r>
      <w:r w:rsidRPr="002B473E">
        <w:rPr>
          <w:rFonts w:eastAsiaTheme="majorEastAsia" w:cs="Arial"/>
          <w:bCs/>
          <w:sz w:val="24"/>
          <w:szCs w:val="28"/>
        </w:rPr>
        <w:tab/>
      </w:r>
      <w:r w:rsidRPr="002B473E">
        <w:rPr>
          <w:rFonts w:eastAsiaTheme="majorEastAsia" w:cs="Arial"/>
          <w:bCs/>
          <w:sz w:val="24"/>
          <w:szCs w:val="28"/>
        </w:rPr>
        <w:tab/>
      </w:r>
      <w:r w:rsidRPr="002B473E">
        <w:rPr>
          <w:rFonts w:eastAsiaTheme="majorEastAsia" w:cs="Arial"/>
          <w:bCs/>
          <w:sz w:val="24"/>
          <w:szCs w:val="28"/>
        </w:rPr>
        <w:tab/>
      </w:r>
      <w:r w:rsidRPr="002B473E">
        <w:rPr>
          <w:rFonts w:eastAsiaTheme="majorEastAsia" w:cs="Arial"/>
          <w:bCs/>
          <w:sz w:val="24"/>
          <w:szCs w:val="28"/>
        </w:rPr>
        <w:tab/>
      </w:r>
      <w:r w:rsidRPr="002B473E">
        <w:rPr>
          <w:rFonts w:eastAsiaTheme="majorEastAsia" w:cs="Arial"/>
          <w:bCs/>
          <w:sz w:val="24"/>
          <w:szCs w:val="28"/>
        </w:rPr>
        <w:tab/>
      </w:r>
      <w:r w:rsidR="004B4F3D">
        <w:rPr>
          <w:rFonts w:eastAsiaTheme="majorEastAsia" w:cs="Arial"/>
          <w:bCs/>
          <w:sz w:val="24"/>
          <w:szCs w:val="28"/>
        </w:rPr>
        <w:t>11.August 2017</w:t>
      </w:r>
    </w:p>
    <w:p w:rsidR="009439AB" w:rsidRPr="002B473E" w:rsidRDefault="009439AB" w:rsidP="009439AB">
      <w:pPr>
        <w:spacing w:after="0" w:line="240" w:lineRule="auto"/>
        <w:jc w:val="both"/>
        <w:rPr>
          <w:rFonts w:eastAsiaTheme="majorEastAsia" w:cs="Arial"/>
          <w:bCs/>
          <w:sz w:val="24"/>
          <w:szCs w:val="28"/>
        </w:rPr>
      </w:pPr>
      <w:r w:rsidRPr="002B473E">
        <w:rPr>
          <w:rFonts w:eastAsiaTheme="majorEastAsia" w:cs="Arial"/>
          <w:bCs/>
          <w:sz w:val="24"/>
          <w:szCs w:val="28"/>
        </w:rPr>
        <w:t>FDL Asylangelegenheiten</w:t>
      </w:r>
    </w:p>
    <w:p w:rsidR="009439AB" w:rsidRDefault="009439AB"/>
    <w:sectPr w:rsidR="009439AB" w:rsidSect="00E14B01">
      <w:pgSz w:w="11906" w:h="16838"/>
      <w:pgMar w:top="1021" w:right="1418" w:bottom="102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30" w:rsidRDefault="00B43230">
      <w:pPr>
        <w:spacing w:after="0" w:line="240" w:lineRule="auto"/>
      </w:pPr>
      <w:r>
        <w:separator/>
      </w:r>
    </w:p>
  </w:endnote>
  <w:endnote w:type="continuationSeparator" w:id="0">
    <w:p w:rsidR="00B43230" w:rsidRDefault="00B4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48151"/>
      <w:docPartObj>
        <w:docPartGallery w:val="Page Numbers (Bottom of Page)"/>
        <w:docPartUnique/>
      </w:docPartObj>
    </w:sdtPr>
    <w:sdtEndPr/>
    <w:sdtContent>
      <w:p w:rsidR="00995CFB" w:rsidRDefault="00995CFB">
        <w:pPr>
          <w:pStyle w:val="Fuzeile"/>
          <w:jc w:val="center"/>
        </w:pPr>
        <w:r>
          <w:fldChar w:fldCharType="begin"/>
        </w:r>
        <w:r>
          <w:instrText>PAGE   \* MERGEFORMAT</w:instrText>
        </w:r>
        <w:r>
          <w:fldChar w:fldCharType="separate"/>
        </w:r>
        <w:r w:rsidR="00CC3306">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30" w:rsidRDefault="00B43230">
      <w:pPr>
        <w:spacing w:after="0" w:line="240" w:lineRule="auto"/>
      </w:pPr>
      <w:r>
        <w:separator/>
      </w:r>
    </w:p>
  </w:footnote>
  <w:footnote w:type="continuationSeparator" w:id="0">
    <w:p w:rsidR="00B43230" w:rsidRDefault="00B43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293"/>
    <w:multiLevelType w:val="hybridMultilevel"/>
    <w:tmpl w:val="59E40728"/>
    <w:lvl w:ilvl="0" w:tplc="8B76A4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6E3E4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2F25B6"/>
    <w:multiLevelType w:val="hybridMultilevel"/>
    <w:tmpl w:val="7A56BA3C"/>
    <w:lvl w:ilvl="0" w:tplc="FA4278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C63045"/>
    <w:multiLevelType w:val="multilevel"/>
    <w:tmpl w:val="5644F782"/>
    <w:lvl w:ilvl="0">
      <w:start w:val="1"/>
      <w:numFmt w:val="decimal"/>
      <w:pStyle w:val="berschrift1"/>
      <w:lvlText w:val="%1."/>
      <w:lvlJc w:val="left"/>
      <w:pPr>
        <w:ind w:left="360" w:hanging="360"/>
      </w:pPr>
      <w:rPr>
        <w:color w:val="auto"/>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18FB1AEA"/>
    <w:multiLevelType w:val="hybridMultilevel"/>
    <w:tmpl w:val="6E46EF16"/>
    <w:lvl w:ilvl="0" w:tplc="F79CDDB8">
      <w:numFmt w:val="bullet"/>
      <w:lvlText w:val="-"/>
      <w:lvlJc w:val="left"/>
      <w:pPr>
        <w:ind w:left="720" w:hanging="360"/>
      </w:pPr>
      <w:rPr>
        <w:rFonts w:ascii="Arial" w:eastAsiaTheme="minorHAnsi" w:hAnsi="Aria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8D72E6"/>
    <w:multiLevelType w:val="hybridMultilevel"/>
    <w:tmpl w:val="A5A08036"/>
    <w:lvl w:ilvl="0" w:tplc="4C9463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CC1F99"/>
    <w:multiLevelType w:val="hybridMultilevel"/>
    <w:tmpl w:val="E108879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2A47B6"/>
    <w:multiLevelType w:val="hybridMultilevel"/>
    <w:tmpl w:val="0C9C369E"/>
    <w:lvl w:ilvl="0" w:tplc="5D0E6C7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EE47214"/>
    <w:multiLevelType w:val="hybridMultilevel"/>
    <w:tmpl w:val="B65C9002"/>
    <w:lvl w:ilvl="0" w:tplc="2EE8EBAC">
      <w:numFmt w:val="bullet"/>
      <w:lvlText w:val="-"/>
      <w:lvlJc w:val="left"/>
      <w:pPr>
        <w:ind w:left="720" w:hanging="360"/>
      </w:pPr>
      <w:rPr>
        <w:rFonts w:ascii="Arial" w:eastAsiaTheme="minorHAnsi" w:hAnsi="Arial" w:cs="Arial" w:hint="default"/>
        <w:b w:val="0"/>
        <w:color w:val="0000FF"/>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B747B0"/>
    <w:multiLevelType w:val="hybridMultilevel"/>
    <w:tmpl w:val="6E483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5D577A"/>
    <w:multiLevelType w:val="hybridMultilevel"/>
    <w:tmpl w:val="97BECCD0"/>
    <w:lvl w:ilvl="0" w:tplc="369677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AF3A78"/>
    <w:multiLevelType w:val="hybridMultilevel"/>
    <w:tmpl w:val="A110682A"/>
    <w:lvl w:ilvl="0" w:tplc="53347472">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C167042"/>
    <w:multiLevelType w:val="hybridMultilevel"/>
    <w:tmpl w:val="F7367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D20767"/>
    <w:multiLevelType w:val="hybridMultilevel"/>
    <w:tmpl w:val="03F8C328"/>
    <w:lvl w:ilvl="0" w:tplc="2C3EA6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9355FC5"/>
    <w:multiLevelType w:val="hybridMultilevel"/>
    <w:tmpl w:val="ED0CA094"/>
    <w:lvl w:ilvl="0" w:tplc="2BA4A8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C6136F"/>
    <w:multiLevelType w:val="hybridMultilevel"/>
    <w:tmpl w:val="8B3AD594"/>
    <w:lvl w:ilvl="0" w:tplc="96B88A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F06056E"/>
    <w:multiLevelType w:val="hybridMultilevel"/>
    <w:tmpl w:val="EC40D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653571"/>
    <w:multiLevelType w:val="hybridMultilevel"/>
    <w:tmpl w:val="EA6248BC"/>
    <w:lvl w:ilvl="0" w:tplc="AF140BC6">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E345DF"/>
    <w:multiLevelType w:val="hybridMultilevel"/>
    <w:tmpl w:val="4ADAF88C"/>
    <w:lvl w:ilvl="0" w:tplc="46629F2E">
      <w:start w:val="20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D671A51"/>
    <w:multiLevelType w:val="hybridMultilevel"/>
    <w:tmpl w:val="7ACC7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12"/>
  </w:num>
  <w:num w:numId="6">
    <w:abstractNumId w:val="10"/>
  </w:num>
  <w:num w:numId="7">
    <w:abstractNumId w:val="5"/>
  </w:num>
  <w:num w:numId="8">
    <w:abstractNumId w:val="8"/>
  </w:num>
  <w:num w:numId="9">
    <w:abstractNumId w:val="4"/>
  </w:num>
  <w:num w:numId="10">
    <w:abstractNumId w:val="16"/>
  </w:num>
  <w:num w:numId="11">
    <w:abstractNumId w:val="2"/>
  </w:num>
  <w:num w:numId="12">
    <w:abstractNumId w:val="7"/>
  </w:num>
  <w:num w:numId="13">
    <w:abstractNumId w:val="18"/>
  </w:num>
  <w:num w:numId="14">
    <w:abstractNumId w:val="15"/>
  </w:num>
  <w:num w:numId="15">
    <w:abstractNumId w:val="17"/>
  </w:num>
  <w:num w:numId="16">
    <w:abstractNumId w:val="19"/>
  </w:num>
  <w:num w:numId="17">
    <w:abstractNumId w:val="14"/>
  </w:num>
  <w:num w:numId="18">
    <w:abstractNumId w:val="13"/>
  </w:num>
  <w:num w:numId="19">
    <w:abstractNumId w:val="9"/>
  </w:num>
  <w:num w:numId="20">
    <w:abstractNumId w:val="11"/>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AB"/>
    <w:rsid w:val="000014E9"/>
    <w:rsid w:val="00055FEB"/>
    <w:rsid w:val="0009370A"/>
    <w:rsid w:val="00096F77"/>
    <w:rsid w:val="000A0F29"/>
    <w:rsid w:val="000C291A"/>
    <w:rsid w:val="000D0934"/>
    <w:rsid w:val="000D1465"/>
    <w:rsid w:val="00105AA7"/>
    <w:rsid w:val="0012039C"/>
    <w:rsid w:val="0012256A"/>
    <w:rsid w:val="00125D3B"/>
    <w:rsid w:val="001322FC"/>
    <w:rsid w:val="00135210"/>
    <w:rsid w:val="00186688"/>
    <w:rsid w:val="00187EA9"/>
    <w:rsid w:val="00192ED8"/>
    <w:rsid w:val="001A6DB1"/>
    <w:rsid w:val="001B1127"/>
    <w:rsid w:val="001C261B"/>
    <w:rsid w:val="001F3DDF"/>
    <w:rsid w:val="00200296"/>
    <w:rsid w:val="00204780"/>
    <w:rsid w:val="0021144E"/>
    <w:rsid w:val="002167E8"/>
    <w:rsid w:val="00217F7C"/>
    <w:rsid w:val="002210B9"/>
    <w:rsid w:val="00222932"/>
    <w:rsid w:val="00233044"/>
    <w:rsid w:val="00242C29"/>
    <w:rsid w:val="00254EBE"/>
    <w:rsid w:val="0026078C"/>
    <w:rsid w:val="002625A5"/>
    <w:rsid w:val="00273463"/>
    <w:rsid w:val="00280AA9"/>
    <w:rsid w:val="00283111"/>
    <w:rsid w:val="00287FBC"/>
    <w:rsid w:val="002C4621"/>
    <w:rsid w:val="002D319E"/>
    <w:rsid w:val="002E1FAB"/>
    <w:rsid w:val="00343032"/>
    <w:rsid w:val="0036507D"/>
    <w:rsid w:val="0037022F"/>
    <w:rsid w:val="00370335"/>
    <w:rsid w:val="003A732C"/>
    <w:rsid w:val="003C1745"/>
    <w:rsid w:val="003C5FE9"/>
    <w:rsid w:val="00410CE9"/>
    <w:rsid w:val="00445F37"/>
    <w:rsid w:val="0045208B"/>
    <w:rsid w:val="004732AC"/>
    <w:rsid w:val="004A1ABB"/>
    <w:rsid w:val="004B4F3D"/>
    <w:rsid w:val="004B4F73"/>
    <w:rsid w:val="004D1E4B"/>
    <w:rsid w:val="004E4DE6"/>
    <w:rsid w:val="005040D9"/>
    <w:rsid w:val="005128F7"/>
    <w:rsid w:val="00541384"/>
    <w:rsid w:val="0054493C"/>
    <w:rsid w:val="00594151"/>
    <w:rsid w:val="005D34AE"/>
    <w:rsid w:val="005D62CC"/>
    <w:rsid w:val="006045B7"/>
    <w:rsid w:val="0060710D"/>
    <w:rsid w:val="00613624"/>
    <w:rsid w:val="00614C87"/>
    <w:rsid w:val="006261BB"/>
    <w:rsid w:val="00632D10"/>
    <w:rsid w:val="006427AC"/>
    <w:rsid w:val="00687DF5"/>
    <w:rsid w:val="00694300"/>
    <w:rsid w:val="00700738"/>
    <w:rsid w:val="00707449"/>
    <w:rsid w:val="0071292C"/>
    <w:rsid w:val="00715E86"/>
    <w:rsid w:val="00717495"/>
    <w:rsid w:val="00725365"/>
    <w:rsid w:val="007276CB"/>
    <w:rsid w:val="00727CA5"/>
    <w:rsid w:val="007329C4"/>
    <w:rsid w:val="00734853"/>
    <w:rsid w:val="00743B7E"/>
    <w:rsid w:val="00744BC2"/>
    <w:rsid w:val="00754130"/>
    <w:rsid w:val="007627C5"/>
    <w:rsid w:val="00775BF0"/>
    <w:rsid w:val="007909D1"/>
    <w:rsid w:val="00795F7E"/>
    <w:rsid w:val="007A75D1"/>
    <w:rsid w:val="007B16A2"/>
    <w:rsid w:val="007E1702"/>
    <w:rsid w:val="00832786"/>
    <w:rsid w:val="00851302"/>
    <w:rsid w:val="00856C81"/>
    <w:rsid w:val="00861ADA"/>
    <w:rsid w:val="00873499"/>
    <w:rsid w:val="0088071C"/>
    <w:rsid w:val="00880F56"/>
    <w:rsid w:val="008813E0"/>
    <w:rsid w:val="00881627"/>
    <w:rsid w:val="00892C73"/>
    <w:rsid w:val="008B301C"/>
    <w:rsid w:val="008C1F71"/>
    <w:rsid w:val="00922B24"/>
    <w:rsid w:val="0092387F"/>
    <w:rsid w:val="009439AB"/>
    <w:rsid w:val="00950598"/>
    <w:rsid w:val="00955CBF"/>
    <w:rsid w:val="00961C44"/>
    <w:rsid w:val="009709CA"/>
    <w:rsid w:val="00971D04"/>
    <w:rsid w:val="00973E9E"/>
    <w:rsid w:val="00993651"/>
    <w:rsid w:val="00995CFB"/>
    <w:rsid w:val="009D3A09"/>
    <w:rsid w:val="009D4251"/>
    <w:rsid w:val="009E5F95"/>
    <w:rsid w:val="00A05AA1"/>
    <w:rsid w:val="00A12346"/>
    <w:rsid w:val="00A433A2"/>
    <w:rsid w:val="00A44CD2"/>
    <w:rsid w:val="00A6646F"/>
    <w:rsid w:val="00AA555B"/>
    <w:rsid w:val="00AB4080"/>
    <w:rsid w:val="00AB64A9"/>
    <w:rsid w:val="00AB7BDE"/>
    <w:rsid w:val="00AF612A"/>
    <w:rsid w:val="00B20AE4"/>
    <w:rsid w:val="00B22EA0"/>
    <w:rsid w:val="00B27C6A"/>
    <w:rsid w:val="00B427C6"/>
    <w:rsid w:val="00B43230"/>
    <w:rsid w:val="00B80A3C"/>
    <w:rsid w:val="00B92773"/>
    <w:rsid w:val="00B94DAC"/>
    <w:rsid w:val="00BA49AF"/>
    <w:rsid w:val="00BC47A8"/>
    <w:rsid w:val="00BF3AD9"/>
    <w:rsid w:val="00BF53EF"/>
    <w:rsid w:val="00C0610E"/>
    <w:rsid w:val="00C172CA"/>
    <w:rsid w:val="00C37B8D"/>
    <w:rsid w:val="00C6421E"/>
    <w:rsid w:val="00C66166"/>
    <w:rsid w:val="00C74DD9"/>
    <w:rsid w:val="00C811E8"/>
    <w:rsid w:val="00C91D0B"/>
    <w:rsid w:val="00CA29B6"/>
    <w:rsid w:val="00CA50CE"/>
    <w:rsid w:val="00CC3306"/>
    <w:rsid w:val="00CD747E"/>
    <w:rsid w:val="00D104A1"/>
    <w:rsid w:val="00D11581"/>
    <w:rsid w:val="00D22718"/>
    <w:rsid w:val="00D3321F"/>
    <w:rsid w:val="00D33F34"/>
    <w:rsid w:val="00D40C45"/>
    <w:rsid w:val="00D515B2"/>
    <w:rsid w:val="00D62785"/>
    <w:rsid w:val="00D64D73"/>
    <w:rsid w:val="00D75224"/>
    <w:rsid w:val="00DA394C"/>
    <w:rsid w:val="00DA7DFF"/>
    <w:rsid w:val="00DB1561"/>
    <w:rsid w:val="00DE7443"/>
    <w:rsid w:val="00E14B01"/>
    <w:rsid w:val="00E24D89"/>
    <w:rsid w:val="00E40D5B"/>
    <w:rsid w:val="00E62B25"/>
    <w:rsid w:val="00E65693"/>
    <w:rsid w:val="00E67E39"/>
    <w:rsid w:val="00E91180"/>
    <w:rsid w:val="00E91D47"/>
    <w:rsid w:val="00E949E8"/>
    <w:rsid w:val="00E94D15"/>
    <w:rsid w:val="00EB2835"/>
    <w:rsid w:val="00EB351C"/>
    <w:rsid w:val="00EC3F1D"/>
    <w:rsid w:val="00EC4FB7"/>
    <w:rsid w:val="00ED2C70"/>
    <w:rsid w:val="00EE4594"/>
    <w:rsid w:val="00F05028"/>
    <w:rsid w:val="00F26878"/>
    <w:rsid w:val="00F27ED5"/>
    <w:rsid w:val="00F3176E"/>
    <w:rsid w:val="00F405FE"/>
    <w:rsid w:val="00F51F15"/>
    <w:rsid w:val="00FA5B42"/>
    <w:rsid w:val="00FB15B3"/>
    <w:rsid w:val="00FB4713"/>
    <w:rsid w:val="00FB6B2C"/>
    <w:rsid w:val="00FB6DD4"/>
    <w:rsid w:val="00FC36DE"/>
    <w:rsid w:val="00FC5051"/>
    <w:rsid w:val="00FD2C19"/>
    <w:rsid w:val="00FE0512"/>
    <w:rsid w:val="00FE0B0C"/>
    <w:rsid w:val="00FE1052"/>
    <w:rsid w:val="00FE6424"/>
    <w:rsid w:val="00FF1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9AB"/>
    <w:rPr>
      <w:rFonts w:ascii="Arial" w:hAnsi="Arial"/>
      <w:sz w:val="20"/>
    </w:rPr>
  </w:style>
  <w:style w:type="paragraph" w:styleId="berschrift1">
    <w:name w:val="heading 1"/>
    <w:basedOn w:val="Standard"/>
    <w:next w:val="Standard"/>
    <w:link w:val="berschrift1Zchn"/>
    <w:uiPriority w:val="9"/>
    <w:qFormat/>
    <w:rsid w:val="009439AB"/>
    <w:pPr>
      <w:keepNext/>
      <w:keepLines/>
      <w:numPr>
        <w:numId w:val="2"/>
      </w:numPr>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9439AB"/>
    <w:pPr>
      <w:keepNext/>
      <w:keepLines/>
      <w:numPr>
        <w:ilvl w:val="1"/>
        <w:numId w:val="2"/>
      </w:numPr>
      <w:spacing w:before="20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9439AB"/>
    <w:pPr>
      <w:keepNext/>
      <w:keepLines/>
      <w:numPr>
        <w:ilvl w:val="2"/>
        <w:numId w:val="2"/>
      </w:numPr>
      <w:spacing w:before="200" w:after="0"/>
      <w:outlineLvl w:val="2"/>
    </w:pPr>
    <w:rPr>
      <w:rFonts w:eastAsiaTheme="majorEastAsia" w:cstheme="majorBidi"/>
      <w:b/>
      <w:bCs/>
      <w:sz w:val="24"/>
    </w:rPr>
  </w:style>
  <w:style w:type="paragraph" w:styleId="berschrift4">
    <w:name w:val="heading 4"/>
    <w:basedOn w:val="Standard"/>
    <w:next w:val="Standard"/>
    <w:link w:val="berschrift4Zchn"/>
    <w:uiPriority w:val="9"/>
    <w:semiHidden/>
    <w:unhideWhenUsed/>
    <w:qFormat/>
    <w:rsid w:val="009439A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439A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439A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439A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439A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9439A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39AB"/>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9439AB"/>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9439AB"/>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semiHidden/>
    <w:rsid w:val="009439AB"/>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9439AB"/>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9439AB"/>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9439AB"/>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9439A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439A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439AB"/>
    <w:pPr>
      <w:ind w:left="720"/>
      <w:contextualSpacing/>
    </w:pPr>
  </w:style>
  <w:style w:type="paragraph" w:styleId="Inhaltsverzeichnisberschrift">
    <w:name w:val="TOC Heading"/>
    <w:basedOn w:val="berschrift1"/>
    <w:next w:val="Standard"/>
    <w:uiPriority w:val="39"/>
    <w:unhideWhenUsed/>
    <w:qFormat/>
    <w:rsid w:val="009439AB"/>
    <w:pPr>
      <w:numPr>
        <w:numId w:val="0"/>
      </w:numPr>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9439AB"/>
    <w:pPr>
      <w:tabs>
        <w:tab w:val="left" w:pos="567"/>
        <w:tab w:val="right" w:leader="dot" w:pos="9062"/>
      </w:tabs>
      <w:spacing w:after="100"/>
      <w:ind w:left="284" w:hanging="284"/>
    </w:pPr>
  </w:style>
  <w:style w:type="paragraph" w:styleId="Verzeichnis2">
    <w:name w:val="toc 2"/>
    <w:basedOn w:val="Standard"/>
    <w:next w:val="Standard"/>
    <w:autoRedefine/>
    <w:uiPriority w:val="39"/>
    <w:unhideWhenUsed/>
    <w:rsid w:val="009439AB"/>
    <w:pPr>
      <w:tabs>
        <w:tab w:val="left" w:pos="567"/>
        <w:tab w:val="right" w:leader="dot" w:pos="9062"/>
      </w:tabs>
      <w:spacing w:after="100"/>
    </w:pPr>
  </w:style>
  <w:style w:type="character" w:styleId="Hyperlink">
    <w:name w:val="Hyperlink"/>
    <w:basedOn w:val="Absatz-Standardschriftart"/>
    <w:uiPriority w:val="99"/>
    <w:unhideWhenUsed/>
    <w:rsid w:val="009439AB"/>
    <w:rPr>
      <w:color w:val="0000FF" w:themeColor="hyperlink"/>
      <w:u w:val="single"/>
    </w:rPr>
  </w:style>
  <w:style w:type="paragraph" w:styleId="Sprechblasentext">
    <w:name w:val="Balloon Text"/>
    <w:basedOn w:val="Standard"/>
    <w:link w:val="SprechblasentextZchn"/>
    <w:uiPriority w:val="99"/>
    <w:semiHidden/>
    <w:unhideWhenUsed/>
    <w:rsid w:val="009439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9AB"/>
    <w:rPr>
      <w:rFonts w:ascii="Tahoma" w:hAnsi="Tahoma" w:cs="Tahoma"/>
      <w:sz w:val="16"/>
      <w:szCs w:val="16"/>
    </w:rPr>
  </w:style>
  <w:style w:type="character" w:customStyle="1" w:styleId="KommentartextZchn">
    <w:name w:val="Kommentartext Zchn"/>
    <w:basedOn w:val="Absatz-Standardschriftart"/>
    <w:link w:val="Kommentartext"/>
    <w:uiPriority w:val="99"/>
    <w:semiHidden/>
    <w:rsid w:val="009439AB"/>
    <w:rPr>
      <w:rFonts w:ascii="Arial" w:hAnsi="Arial"/>
      <w:sz w:val="20"/>
      <w:szCs w:val="20"/>
    </w:rPr>
  </w:style>
  <w:style w:type="paragraph" w:styleId="Kommentartext">
    <w:name w:val="annotation text"/>
    <w:basedOn w:val="Standard"/>
    <w:link w:val="KommentartextZchn"/>
    <w:uiPriority w:val="99"/>
    <w:semiHidden/>
    <w:unhideWhenUsed/>
    <w:rsid w:val="009439AB"/>
    <w:pPr>
      <w:spacing w:line="240" w:lineRule="auto"/>
    </w:pPr>
    <w:rPr>
      <w:szCs w:val="20"/>
    </w:rPr>
  </w:style>
  <w:style w:type="character" w:customStyle="1" w:styleId="KommentarthemaZchn">
    <w:name w:val="Kommentarthema Zchn"/>
    <w:basedOn w:val="KommentartextZchn"/>
    <w:link w:val="Kommentarthema"/>
    <w:uiPriority w:val="99"/>
    <w:semiHidden/>
    <w:rsid w:val="009439AB"/>
    <w:rPr>
      <w:rFonts w:ascii="Arial" w:hAnsi="Arial"/>
      <w:b/>
      <w:bCs/>
      <w:sz w:val="20"/>
      <w:szCs w:val="20"/>
    </w:rPr>
  </w:style>
  <w:style w:type="paragraph" w:styleId="Kommentarthema">
    <w:name w:val="annotation subject"/>
    <w:basedOn w:val="Kommentartext"/>
    <w:next w:val="Kommentartext"/>
    <w:link w:val="KommentarthemaZchn"/>
    <w:uiPriority w:val="99"/>
    <w:semiHidden/>
    <w:unhideWhenUsed/>
    <w:rsid w:val="009439AB"/>
    <w:rPr>
      <w:b/>
      <w:bCs/>
    </w:rPr>
  </w:style>
  <w:style w:type="paragraph" w:styleId="Kopfzeile">
    <w:name w:val="header"/>
    <w:basedOn w:val="Standard"/>
    <w:link w:val="KopfzeileZchn"/>
    <w:uiPriority w:val="99"/>
    <w:unhideWhenUsed/>
    <w:rsid w:val="009439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9AB"/>
    <w:rPr>
      <w:rFonts w:ascii="Arial" w:hAnsi="Arial"/>
      <w:sz w:val="20"/>
    </w:rPr>
  </w:style>
  <w:style w:type="paragraph" w:styleId="Fuzeile">
    <w:name w:val="footer"/>
    <w:basedOn w:val="Standard"/>
    <w:link w:val="FuzeileZchn"/>
    <w:uiPriority w:val="99"/>
    <w:unhideWhenUsed/>
    <w:rsid w:val="009439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9AB"/>
    <w:rPr>
      <w:rFonts w:ascii="Arial" w:hAnsi="Arial"/>
      <w:sz w:val="20"/>
    </w:rPr>
  </w:style>
  <w:style w:type="paragraph" w:styleId="KeinLeerraum">
    <w:name w:val="No Spacing"/>
    <w:uiPriority w:val="1"/>
    <w:qFormat/>
    <w:rsid w:val="009439AB"/>
    <w:pPr>
      <w:spacing w:after="0" w:line="240" w:lineRule="auto"/>
    </w:pPr>
    <w:rPr>
      <w:rFonts w:ascii="Arial" w:hAnsi="Arial"/>
      <w:sz w:val="20"/>
    </w:rPr>
  </w:style>
  <w:style w:type="paragraph" w:styleId="StandardWeb">
    <w:name w:val="Normal (Web)"/>
    <w:basedOn w:val="Standard"/>
    <w:uiPriority w:val="99"/>
    <w:unhideWhenUsed/>
    <w:rsid w:val="009439AB"/>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9439A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9AB"/>
    <w:rPr>
      <w:rFonts w:ascii="Arial" w:hAnsi="Arial"/>
      <w:sz w:val="20"/>
    </w:rPr>
  </w:style>
  <w:style w:type="paragraph" w:styleId="berschrift1">
    <w:name w:val="heading 1"/>
    <w:basedOn w:val="Standard"/>
    <w:next w:val="Standard"/>
    <w:link w:val="berschrift1Zchn"/>
    <w:uiPriority w:val="9"/>
    <w:qFormat/>
    <w:rsid w:val="009439AB"/>
    <w:pPr>
      <w:keepNext/>
      <w:keepLines/>
      <w:numPr>
        <w:numId w:val="2"/>
      </w:numPr>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9439AB"/>
    <w:pPr>
      <w:keepNext/>
      <w:keepLines/>
      <w:numPr>
        <w:ilvl w:val="1"/>
        <w:numId w:val="2"/>
      </w:numPr>
      <w:spacing w:before="20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9439AB"/>
    <w:pPr>
      <w:keepNext/>
      <w:keepLines/>
      <w:numPr>
        <w:ilvl w:val="2"/>
        <w:numId w:val="2"/>
      </w:numPr>
      <w:spacing w:before="200" w:after="0"/>
      <w:outlineLvl w:val="2"/>
    </w:pPr>
    <w:rPr>
      <w:rFonts w:eastAsiaTheme="majorEastAsia" w:cstheme="majorBidi"/>
      <w:b/>
      <w:bCs/>
      <w:sz w:val="24"/>
    </w:rPr>
  </w:style>
  <w:style w:type="paragraph" w:styleId="berschrift4">
    <w:name w:val="heading 4"/>
    <w:basedOn w:val="Standard"/>
    <w:next w:val="Standard"/>
    <w:link w:val="berschrift4Zchn"/>
    <w:uiPriority w:val="9"/>
    <w:semiHidden/>
    <w:unhideWhenUsed/>
    <w:qFormat/>
    <w:rsid w:val="009439A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439A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439A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439A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439A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9439A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39AB"/>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9439AB"/>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9439AB"/>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semiHidden/>
    <w:rsid w:val="009439AB"/>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9439AB"/>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9439AB"/>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9439AB"/>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9439A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439A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439AB"/>
    <w:pPr>
      <w:ind w:left="720"/>
      <w:contextualSpacing/>
    </w:pPr>
  </w:style>
  <w:style w:type="paragraph" w:styleId="Inhaltsverzeichnisberschrift">
    <w:name w:val="TOC Heading"/>
    <w:basedOn w:val="berschrift1"/>
    <w:next w:val="Standard"/>
    <w:uiPriority w:val="39"/>
    <w:unhideWhenUsed/>
    <w:qFormat/>
    <w:rsid w:val="009439AB"/>
    <w:pPr>
      <w:numPr>
        <w:numId w:val="0"/>
      </w:numPr>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9439AB"/>
    <w:pPr>
      <w:tabs>
        <w:tab w:val="left" w:pos="567"/>
        <w:tab w:val="right" w:leader="dot" w:pos="9062"/>
      </w:tabs>
      <w:spacing w:after="100"/>
      <w:ind w:left="284" w:hanging="284"/>
    </w:pPr>
  </w:style>
  <w:style w:type="paragraph" w:styleId="Verzeichnis2">
    <w:name w:val="toc 2"/>
    <w:basedOn w:val="Standard"/>
    <w:next w:val="Standard"/>
    <w:autoRedefine/>
    <w:uiPriority w:val="39"/>
    <w:unhideWhenUsed/>
    <w:rsid w:val="009439AB"/>
    <w:pPr>
      <w:tabs>
        <w:tab w:val="left" w:pos="567"/>
        <w:tab w:val="right" w:leader="dot" w:pos="9062"/>
      </w:tabs>
      <w:spacing w:after="100"/>
    </w:pPr>
  </w:style>
  <w:style w:type="character" w:styleId="Hyperlink">
    <w:name w:val="Hyperlink"/>
    <w:basedOn w:val="Absatz-Standardschriftart"/>
    <w:uiPriority w:val="99"/>
    <w:unhideWhenUsed/>
    <w:rsid w:val="009439AB"/>
    <w:rPr>
      <w:color w:val="0000FF" w:themeColor="hyperlink"/>
      <w:u w:val="single"/>
    </w:rPr>
  </w:style>
  <w:style w:type="paragraph" w:styleId="Sprechblasentext">
    <w:name w:val="Balloon Text"/>
    <w:basedOn w:val="Standard"/>
    <w:link w:val="SprechblasentextZchn"/>
    <w:uiPriority w:val="99"/>
    <w:semiHidden/>
    <w:unhideWhenUsed/>
    <w:rsid w:val="009439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9AB"/>
    <w:rPr>
      <w:rFonts w:ascii="Tahoma" w:hAnsi="Tahoma" w:cs="Tahoma"/>
      <w:sz w:val="16"/>
      <w:szCs w:val="16"/>
    </w:rPr>
  </w:style>
  <w:style w:type="character" w:customStyle="1" w:styleId="KommentartextZchn">
    <w:name w:val="Kommentartext Zchn"/>
    <w:basedOn w:val="Absatz-Standardschriftart"/>
    <w:link w:val="Kommentartext"/>
    <w:uiPriority w:val="99"/>
    <w:semiHidden/>
    <w:rsid w:val="009439AB"/>
    <w:rPr>
      <w:rFonts w:ascii="Arial" w:hAnsi="Arial"/>
      <w:sz w:val="20"/>
      <w:szCs w:val="20"/>
    </w:rPr>
  </w:style>
  <w:style w:type="paragraph" w:styleId="Kommentartext">
    <w:name w:val="annotation text"/>
    <w:basedOn w:val="Standard"/>
    <w:link w:val="KommentartextZchn"/>
    <w:uiPriority w:val="99"/>
    <w:semiHidden/>
    <w:unhideWhenUsed/>
    <w:rsid w:val="009439AB"/>
    <w:pPr>
      <w:spacing w:line="240" w:lineRule="auto"/>
    </w:pPr>
    <w:rPr>
      <w:szCs w:val="20"/>
    </w:rPr>
  </w:style>
  <w:style w:type="character" w:customStyle="1" w:styleId="KommentarthemaZchn">
    <w:name w:val="Kommentarthema Zchn"/>
    <w:basedOn w:val="KommentartextZchn"/>
    <w:link w:val="Kommentarthema"/>
    <w:uiPriority w:val="99"/>
    <w:semiHidden/>
    <w:rsid w:val="009439AB"/>
    <w:rPr>
      <w:rFonts w:ascii="Arial" w:hAnsi="Arial"/>
      <w:b/>
      <w:bCs/>
      <w:sz w:val="20"/>
      <w:szCs w:val="20"/>
    </w:rPr>
  </w:style>
  <w:style w:type="paragraph" w:styleId="Kommentarthema">
    <w:name w:val="annotation subject"/>
    <w:basedOn w:val="Kommentartext"/>
    <w:next w:val="Kommentartext"/>
    <w:link w:val="KommentarthemaZchn"/>
    <w:uiPriority w:val="99"/>
    <w:semiHidden/>
    <w:unhideWhenUsed/>
    <w:rsid w:val="009439AB"/>
    <w:rPr>
      <w:b/>
      <w:bCs/>
    </w:rPr>
  </w:style>
  <w:style w:type="paragraph" w:styleId="Kopfzeile">
    <w:name w:val="header"/>
    <w:basedOn w:val="Standard"/>
    <w:link w:val="KopfzeileZchn"/>
    <w:uiPriority w:val="99"/>
    <w:unhideWhenUsed/>
    <w:rsid w:val="009439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9AB"/>
    <w:rPr>
      <w:rFonts w:ascii="Arial" w:hAnsi="Arial"/>
      <w:sz w:val="20"/>
    </w:rPr>
  </w:style>
  <w:style w:type="paragraph" w:styleId="Fuzeile">
    <w:name w:val="footer"/>
    <w:basedOn w:val="Standard"/>
    <w:link w:val="FuzeileZchn"/>
    <w:uiPriority w:val="99"/>
    <w:unhideWhenUsed/>
    <w:rsid w:val="009439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9AB"/>
    <w:rPr>
      <w:rFonts w:ascii="Arial" w:hAnsi="Arial"/>
      <w:sz w:val="20"/>
    </w:rPr>
  </w:style>
  <w:style w:type="paragraph" w:styleId="KeinLeerraum">
    <w:name w:val="No Spacing"/>
    <w:uiPriority w:val="1"/>
    <w:qFormat/>
    <w:rsid w:val="009439AB"/>
    <w:pPr>
      <w:spacing w:after="0" w:line="240" w:lineRule="auto"/>
    </w:pPr>
    <w:rPr>
      <w:rFonts w:ascii="Arial" w:hAnsi="Arial"/>
      <w:sz w:val="20"/>
    </w:rPr>
  </w:style>
  <w:style w:type="paragraph" w:styleId="StandardWeb">
    <w:name w:val="Normal (Web)"/>
    <w:basedOn w:val="Standard"/>
    <w:uiPriority w:val="99"/>
    <w:unhideWhenUsed/>
    <w:rsid w:val="009439AB"/>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9439A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2629">
      <w:bodyDiv w:val="1"/>
      <w:marLeft w:val="0"/>
      <w:marRight w:val="0"/>
      <w:marTop w:val="0"/>
      <w:marBottom w:val="0"/>
      <w:divBdr>
        <w:top w:val="none" w:sz="0" w:space="0" w:color="auto"/>
        <w:left w:val="none" w:sz="0" w:space="0" w:color="auto"/>
        <w:bottom w:val="none" w:sz="0" w:space="0" w:color="auto"/>
        <w:right w:val="none" w:sz="0" w:space="0" w:color="auto"/>
      </w:divBdr>
    </w:div>
    <w:div w:id="272979810">
      <w:bodyDiv w:val="1"/>
      <w:marLeft w:val="0"/>
      <w:marRight w:val="0"/>
      <w:marTop w:val="0"/>
      <w:marBottom w:val="0"/>
      <w:divBdr>
        <w:top w:val="none" w:sz="0" w:space="0" w:color="auto"/>
        <w:left w:val="none" w:sz="0" w:space="0" w:color="auto"/>
        <w:bottom w:val="none" w:sz="0" w:space="0" w:color="auto"/>
        <w:right w:val="none" w:sz="0" w:space="0" w:color="auto"/>
      </w:divBdr>
    </w:div>
    <w:div w:id="603538232">
      <w:bodyDiv w:val="1"/>
      <w:marLeft w:val="0"/>
      <w:marRight w:val="0"/>
      <w:marTop w:val="0"/>
      <w:marBottom w:val="0"/>
      <w:divBdr>
        <w:top w:val="none" w:sz="0" w:space="0" w:color="auto"/>
        <w:left w:val="none" w:sz="0" w:space="0" w:color="auto"/>
        <w:bottom w:val="none" w:sz="0" w:space="0" w:color="auto"/>
        <w:right w:val="none" w:sz="0" w:space="0" w:color="auto"/>
      </w:divBdr>
    </w:div>
    <w:div w:id="880362660">
      <w:bodyDiv w:val="1"/>
      <w:marLeft w:val="0"/>
      <w:marRight w:val="0"/>
      <w:marTop w:val="0"/>
      <w:marBottom w:val="0"/>
      <w:divBdr>
        <w:top w:val="none" w:sz="0" w:space="0" w:color="auto"/>
        <w:left w:val="none" w:sz="0" w:space="0" w:color="auto"/>
        <w:bottom w:val="none" w:sz="0" w:space="0" w:color="auto"/>
        <w:right w:val="none" w:sz="0" w:space="0" w:color="auto"/>
      </w:divBdr>
    </w:div>
    <w:div w:id="974138057">
      <w:bodyDiv w:val="1"/>
      <w:marLeft w:val="0"/>
      <w:marRight w:val="0"/>
      <w:marTop w:val="0"/>
      <w:marBottom w:val="0"/>
      <w:divBdr>
        <w:top w:val="none" w:sz="0" w:space="0" w:color="auto"/>
        <w:left w:val="none" w:sz="0" w:space="0" w:color="auto"/>
        <w:bottom w:val="none" w:sz="0" w:space="0" w:color="auto"/>
        <w:right w:val="none" w:sz="0" w:space="0" w:color="auto"/>
      </w:divBdr>
    </w:div>
    <w:div w:id="1270233310">
      <w:bodyDiv w:val="1"/>
      <w:marLeft w:val="0"/>
      <w:marRight w:val="0"/>
      <w:marTop w:val="0"/>
      <w:marBottom w:val="0"/>
      <w:divBdr>
        <w:top w:val="none" w:sz="0" w:space="0" w:color="auto"/>
        <w:left w:val="none" w:sz="0" w:space="0" w:color="auto"/>
        <w:bottom w:val="none" w:sz="0" w:space="0" w:color="auto"/>
        <w:right w:val="none" w:sz="0" w:space="0" w:color="auto"/>
      </w:divBdr>
    </w:div>
    <w:div w:id="1452095224">
      <w:bodyDiv w:val="1"/>
      <w:marLeft w:val="0"/>
      <w:marRight w:val="0"/>
      <w:marTop w:val="0"/>
      <w:marBottom w:val="0"/>
      <w:divBdr>
        <w:top w:val="none" w:sz="0" w:space="0" w:color="auto"/>
        <w:left w:val="none" w:sz="0" w:space="0" w:color="auto"/>
        <w:bottom w:val="none" w:sz="0" w:space="0" w:color="auto"/>
        <w:right w:val="none" w:sz="0" w:space="0" w:color="auto"/>
      </w:divBdr>
    </w:div>
    <w:div w:id="1496529763">
      <w:bodyDiv w:val="1"/>
      <w:marLeft w:val="0"/>
      <w:marRight w:val="0"/>
      <w:marTop w:val="0"/>
      <w:marBottom w:val="0"/>
      <w:divBdr>
        <w:top w:val="none" w:sz="0" w:space="0" w:color="auto"/>
        <w:left w:val="none" w:sz="0" w:space="0" w:color="auto"/>
        <w:bottom w:val="none" w:sz="0" w:space="0" w:color="auto"/>
        <w:right w:val="none" w:sz="0" w:space="0" w:color="auto"/>
      </w:divBdr>
    </w:div>
    <w:div w:id="1527059275">
      <w:bodyDiv w:val="1"/>
      <w:marLeft w:val="0"/>
      <w:marRight w:val="0"/>
      <w:marTop w:val="0"/>
      <w:marBottom w:val="0"/>
      <w:divBdr>
        <w:top w:val="none" w:sz="0" w:space="0" w:color="auto"/>
        <w:left w:val="none" w:sz="0" w:space="0" w:color="auto"/>
        <w:bottom w:val="none" w:sz="0" w:space="0" w:color="auto"/>
        <w:right w:val="none" w:sz="0" w:space="0" w:color="auto"/>
      </w:divBdr>
    </w:div>
    <w:div w:id="16806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terSv\Documents\GroupWise\Diagramme%20f&#252;r%20Wirtschaftlichkeitsbetrachtung%202015-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hterSv\Documents\GroupWise\Diagramme%20f&#252;r%20Wirtschaftlichkeitsbetrachtung%202015-201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lx2-l04-vs\l04_50\Daten\Dat-50-Fachadmin\Zuarbeit\Richter\Diagramme%20f&#252;r%20Wirtschaftlichkeitsbetrachtung%202015-201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lx2-l04-vs\l04_50\Daten\Dat-50-Fachadmin\Zuarbeit\Richter\Diagramme%20f&#252;r%20Wirtschaftlichkeitsbetrachtung%202015-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chterSv\Documents\GroupWise\Diagramme%20f&#252;r%20Wirtschaftlichkeitsbetrachtung%202015-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chterSv\Documents\GroupWise\Diagramme%20f&#252;r%20Wirtschaftlichkeitsbetrachtung%202015-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de-DE" sz="1200">
                <a:latin typeface="Arial" panose="020B0604020202020204" pitchFamily="34" charset="0"/>
                <a:cs typeface="Arial" panose="020B0604020202020204" pitchFamily="34" charset="0"/>
              </a:rPr>
              <a:t>Entwicklung der OPEN/PROSOZ</a:t>
            </a:r>
            <a:r>
              <a:rPr lang="de-DE" sz="1200" baseline="0">
                <a:latin typeface="Arial" panose="020B0604020202020204" pitchFamily="34" charset="0"/>
                <a:cs typeface="Arial" panose="020B0604020202020204" pitchFamily="34" charset="0"/>
              </a:rPr>
              <a:t> - Personenzahlen der nicht dauerhaft aufenthaltsberechtigten Ausländer</a:t>
            </a:r>
            <a:endParaRPr lang="de-DE" sz="12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tx>
            <c:strRef>
              <c:f>Tabelle1!$A$2</c:f>
              <c:strCache>
                <c:ptCount val="1"/>
                <c:pt idx="0">
                  <c:v>2015</c:v>
                </c:pt>
              </c:strCache>
            </c:strRef>
          </c:tx>
          <c:spPr>
            <a:solidFill>
              <a:schemeClr val="accent3">
                <a:lumMod val="60000"/>
                <a:lumOff val="40000"/>
              </a:schemeClr>
            </a:solidFill>
          </c:spPr>
          <c:invertIfNegative val="0"/>
          <c:dLbls>
            <c:dLblPos val="outEnd"/>
            <c:showLegendKey val="0"/>
            <c:showVal val="1"/>
            <c:showCatName val="0"/>
            <c:showSerName val="0"/>
            <c:showPercent val="0"/>
            <c:showBubbleSize val="0"/>
            <c:showLeaderLines val="0"/>
          </c:dLbls>
          <c:cat>
            <c:strRef>
              <c:f>Tabelle1!$B$1:$M$1</c:f>
              <c:strCache>
                <c:ptCount val="12"/>
                <c:pt idx="0">
                  <c:v>Jan</c:v>
                </c:pt>
                <c:pt idx="1">
                  <c:v>Feb</c:v>
                </c:pt>
                <c:pt idx="2">
                  <c:v>Mrz</c:v>
                </c:pt>
                <c:pt idx="3">
                  <c:v>Apr</c:v>
                </c:pt>
                <c:pt idx="4">
                  <c:v>Mai</c:v>
                </c:pt>
                <c:pt idx="5">
                  <c:v>Jun</c:v>
                </c:pt>
                <c:pt idx="6">
                  <c:v>Jul</c:v>
                </c:pt>
                <c:pt idx="7">
                  <c:v>Aug</c:v>
                </c:pt>
                <c:pt idx="8">
                  <c:v>Sep</c:v>
                </c:pt>
                <c:pt idx="9">
                  <c:v>Okt</c:v>
                </c:pt>
                <c:pt idx="10">
                  <c:v>Nov</c:v>
                </c:pt>
                <c:pt idx="11">
                  <c:v>Dez</c:v>
                </c:pt>
              </c:strCache>
            </c:strRef>
          </c:cat>
          <c:val>
            <c:numRef>
              <c:f>Tabelle1!$B$2:$M$2</c:f>
              <c:numCache>
                <c:formatCode>General</c:formatCode>
                <c:ptCount val="12"/>
                <c:pt idx="0">
                  <c:v>602</c:v>
                </c:pt>
                <c:pt idx="1">
                  <c:v>627</c:v>
                </c:pt>
                <c:pt idx="2">
                  <c:v>645</c:v>
                </c:pt>
                <c:pt idx="3">
                  <c:v>591</c:v>
                </c:pt>
                <c:pt idx="4">
                  <c:v>632</c:v>
                </c:pt>
                <c:pt idx="5">
                  <c:v>656</c:v>
                </c:pt>
                <c:pt idx="6">
                  <c:v>673</c:v>
                </c:pt>
                <c:pt idx="7">
                  <c:v>840</c:v>
                </c:pt>
                <c:pt idx="8">
                  <c:v>1041</c:v>
                </c:pt>
                <c:pt idx="9">
                  <c:v>1229</c:v>
                </c:pt>
                <c:pt idx="10">
                  <c:v>1477</c:v>
                </c:pt>
                <c:pt idx="11">
                  <c:v>1533</c:v>
                </c:pt>
              </c:numCache>
            </c:numRef>
          </c:val>
        </c:ser>
        <c:ser>
          <c:idx val="1"/>
          <c:order val="1"/>
          <c:tx>
            <c:strRef>
              <c:f>Tabelle1!$A$3</c:f>
              <c:strCache>
                <c:ptCount val="1"/>
                <c:pt idx="0">
                  <c:v>2016</c:v>
                </c:pt>
              </c:strCache>
            </c:strRef>
          </c:tx>
          <c:spPr>
            <a:solidFill>
              <a:schemeClr val="tx2">
                <a:lumMod val="60000"/>
                <a:lumOff val="40000"/>
              </a:schemeClr>
            </a:solidFill>
          </c:spPr>
          <c:invertIfNegative val="0"/>
          <c:dLbls>
            <c:dLblPos val="outEnd"/>
            <c:showLegendKey val="0"/>
            <c:showVal val="1"/>
            <c:showCatName val="0"/>
            <c:showSerName val="0"/>
            <c:showPercent val="0"/>
            <c:showBubbleSize val="0"/>
            <c:showLeaderLines val="0"/>
          </c:dLbls>
          <c:cat>
            <c:strRef>
              <c:f>Tabelle1!$B$1:$M$1</c:f>
              <c:strCache>
                <c:ptCount val="12"/>
                <c:pt idx="0">
                  <c:v>Jan</c:v>
                </c:pt>
                <c:pt idx="1">
                  <c:v>Feb</c:v>
                </c:pt>
                <c:pt idx="2">
                  <c:v>Mrz</c:v>
                </c:pt>
                <c:pt idx="3">
                  <c:v>Apr</c:v>
                </c:pt>
                <c:pt idx="4">
                  <c:v>Mai</c:v>
                </c:pt>
                <c:pt idx="5">
                  <c:v>Jun</c:v>
                </c:pt>
                <c:pt idx="6">
                  <c:v>Jul</c:v>
                </c:pt>
                <c:pt idx="7">
                  <c:v>Aug</c:v>
                </c:pt>
                <c:pt idx="8">
                  <c:v>Sep</c:v>
                </c:pt>
                <c:pt idx="9">
                  <c:v>Okt</c:v>
                </c:pt>
                <c:pt idx="10">
                  <c:v>Nov</c:v>
                </c:pt>
                <c:pt idx="11">
                  <c:v>Dez</c:v>
                </c:pt>
              </c:strCache>
            </c:strRef>
          </c:cat>
          <c:val>
            <c:numRef>
              <c:f>Tabelle1!$B$3:$M$3</c:f>
              <c:numCache>
                <c:formatCode>General</c:formatCode>
                <c:ptCount val="12"/>
                <c:pt idx="0">
                  <c:v>1463</c:v>
                </c:pt>
                <c:pt idx="1">
                  <c:v>1498</c:v>
                </c:pt>
                <c:pt idx="2">
                  <c:v>1448</c:v>
                </c:pt>
                <c:pt idx="3">
                  <c:v>1249</c:v>
                </c:pt>
                <c:pt idx="4">
                  <c:v>1158</c:v>
                </c:pt>
                <c:pt idx="5">
                  <c:v>1058</c:v>
                </c:pt>
                <c:pt idx="6">
                  <c:v>960</c:v>
                </c:pt>
                <c:pt idx="7">
                  <c:v>896</c:v>
                </c:pt>
                <c:pt idx="8">
                  <c:v>808</c:v>
                </c:pt>
                <c:pt idx="9">
                  <c:v>758</c:v>
                </c:pt>
                <c:pt idx="10">
                  <c:v>768</c:v>
                </c:pt>
                <c:pt idx="11">
                  <c:v>766</c:v>
                </c:pt>
              </c:numCache>
            </c:numRef>
          </c:val>
        </c:ser>
        <c:dLbls>
          <c:showLegendKey val="0"/>
          <c:showVal val="0"/>
          <c:showCatName val="0"/>
          <c:showSerName val="0"/>
          <c:showPercent val="0"/>
          <c:showBubbleSize val="0"/>
        </c:dLbls>
        <c:gapWidth val="149"/>
        <c:overlap val="-100"/>
        <c:axId val="131674880"/>
        <c:axId val="131676416"/>
      </c:barChart>
      <c:catAx>
        <c:axId val="131674880"/>
        <c:scaling>
          <c:orientation val="minMax"/>
        </c:scaling>
        <c:delete val="0"/>
        <c:axPos val="b"/>
        <c:majorTickMark val="cross"/>
        <c:minorTickMark val="none"/>
        <c:tickLblPos val="nextTo"/>
        <c:crossAx val="131676416"/>
        <c:crosses val="autoZero"/>
        <c:auto val="1"/>
        <c:lblAlgn val="ctr"/>
        <c:lblOffset val="100"/>
        <c:tickLblSkip val="1"/>
        <c:noMultiLvlLbl val="0"/>
      </c:catAx>
      <c:valAx>
        <c:axId val="131676416"/>
        <c:scaling>
          <c:orientation val="minMax"/>
          <c:max val="1600"/>
        </c:scaling>
        <c:delete val="0"/>
        <c:axPos val="l"/>
        <c:majorGridlines/>
        <c:numFmt formatCode="General" sourceLinked="1"/>
        <c:majorTickMark val="in"/>
        <c:minorTickMark val="in"/>
        <c:tickLblPos val="nextTo"/>
        <c:spPr>
          <a:ln w="9525">
            <a:noFill/>
          </a:ln>
        </c:spPr>
        <c:crossAx val="131674880"/>
        <c:crosses val="autoZero"/>
        <c:crossBetween val="between"/>
        <c:majorUnit val="200"/>
        <c:minorUnit val="100"/>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de-DE" sz="1200">
                <a:latin typeface="Arial" panose="020B0604020202020204" pitchFamily="34" charset="0"/>
                <a:cs typeface="Arial" panose="020B0604020202020204" pitchFamily="34" charset="0"/>
              </a:rPr>
              <a:t>Entwicklung der Personenzahlen</a:t>
            </a:r>
          </a:p>
        </c:rich>
      </c:tx>
      <c:overlay val="0"/>
    </c:title>
    <c:autoTitleDeleted val="0"/>
    <c:plotArea>
      <c:layout/>
      <c:lineChart>
        <c:grouping val="standard"/>
        <c:varyColors val="0"/>
        <c:ser>
          <c:idx val="0"/>
          <c:order val="0"/>
          <c:tx>
            <c:strRef>
              <c:f>Tabelle1!$A$2</c:f>
              <c:strCache>
                <c:ptCount val="1"/>
                <c:pt idx="0">
                  <c:v>2015</c:v>
                </c:pt>
              </c:strCache>
            </c:strRef>
          </c:tx>
          <c:spPr>
            <a:ln>
              <a:solidFill>
                <a:schemeClr val="accent3">
                  <a:lumMod val="60000"/>
                  <a:lumOff val="40000"/>
                </a:schemeClr>
              </a:solidFill>
            </a:ln>
          </c:spPr>
          <c:marker>
            <c:symbol val="none"/>
          </c:marker>
          <c:dLbls>
            <c:dLbl>
              <c:idx val="0"/>
              <c:dLblPos val="b"/>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2.3715415019762844E-2"/>
                  <c:y val="3.64464692482915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Tabelle1!$B$1:$M$1</c:f>
              <c:strCache>
                <c:ptCount val="12"/>
                <c:pt idx="0">
                  <c:v>Jan</c:v>
                </c:pt>
                <c:pt idx="1">
                  <c:v>Feb</c:v>
                </c:pt>
                <c:pt idx="2">
                  <c:v>Mrz</c:v>
                </c:pt>
                <c:pt idx="3">
                  <c:v>Apr</c:v>
                </c:pt>
                <c:pt idx="4">
                  <c:v>Mai</c:v>
                </c:pt>
                <c:pt idx="5">
                  <c:v>Jun</c:v>
                </c:pt>
                <c:pt idx="6">
                  <c:v>Jul</c:v>
                </c:pt>
                <c:pt idx="7">
                  <c:v>Aug</c:v>
                </c:pt>
                <c:pt idx="8">
                  <c:v>Sep</c:v>
                </c:pt>
                <c:pt idx="9">
                  <c:v>Okt</c:v>
                </c:pt>
                <c:pt idx="10">
                  <c:v>Nov</c:v>
                </c:pt>
                <c:pt idx="11">
                  <c:v>Dez</c:v>
                </c:pt>
              </c:strCache>
            </c:strRef>
          </c:cat>
          <c:val>
            <c:numRef>
              <c:f>Tabelle1!$B$2:$M$2</c:f>
              <c:numCache>
                <c:formatCode>General</c:formatCode>
                <c:ptCount val="12"/>
                <c:pt idx="0">
                  <c:v>602</c:v>
                </c:pt>
                <c:pt idx="1">
                  <c:v>627</c:v>
                </c:pt>
                <c:pt idx="2">
                  <c:v>645</c:v>
                </c:pt>
                <c:pt idx="3">
                  <c:v>591</c:v>
                </c:pt>
                <c:pt idx="4">
                  <c:v>632</c:v>
                </c:pt>
                <c:pt idx="5">
                  <c:v>656</c:v>
                </c:pt>
                <c:pt idx="6">
                  <c:v>673</c:v>
                </c:pt>
                <c:pt idx="7">
                  <c:v>840</c:v>
                </c:pt>
                <c:pt idx="8">
                  <c:v>1041</c:v>
                </c:pt>
                <c:pt idx="9">
                  <c:v>1229</c:v>
                </c:pt>
                <c:pt idx="10">
                  <c:v>1477</c:v>
                </c:pt>
                <c:pt idx="11">
                  <c:v>1533</c:v>
                </c:pt>
              </c:numCache>
            </c:numRef>
          </c:val>
          <c:smooth val="0"/>
        </c:ser>
        <c:ser>
          <c:idx val="1"/>
          <c:order val="1"/>
          <c:tx>
            <c:strRef>
              <c:f>Tabelle1!$A$3</c:f>
              <c:strCache>
                <c:ptCount val="1"/>
                <c:pt idx="0">
                  <c:v>2016</c:v>
                </c:pt>
              </c:strCache>
            </c:strRef>
          </c:tx>
          <c:spPr>
            <a:ln>
              <a:solidFill>
                <a:schemeClr val="tx2">
                  <a:lumMod val="60000"/>
                  <a:lumOff val="40000"/>
                </a:schemeClr>
              </a:solidFill>
            </a:ln>
          </c:spPr>
          <c:marker>
            <c:symbol val="none"/>
          </c:marker>
          <c:dLbls>
            <c:dLbl>
              <c:idx val="0"/>
              <c:layout>
                <c:manualLayout>
                  <c:x val="-4.474308300395257E-2"/>
                  <c:y val="-3.006068432789865E-2"/>
                </c:manualLayout>
              </c:layout>
              <c:dLblPos val="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Pos val="b"/>
            <c:showLegendKey val="0"/>
            <c:showVal val="1"/>
            <c:showCatName val="0"/>
            <c:showSerName val="0"/>
            <c:showPercent val="0"/>
            <c:showBubbleSize val="0"/>
            <c:showLeaderLines val="0"/>
          </c:dLbls>
          <c:cat>
            <c:strRef>
              <c:f>Tabelle1!$B$1:$M$1</c:f>
              <c:strCache>
                <c:ptCount val="12"/>
                <c:pt idx="0">
                  <c:v>Jan</c:v>
                </c:pt>
                <c:pt idx="1">
                  <c:v>Feb</c:v>
                </c:pt>
                <c:pt idx="2">
                  <c:v>Mrz</c:v>
                </c:pt>
                <c:pt idx="3">
                  <c:v>Apr</c:v>
                </c:pt>
                <c:pt idx="4">
                  <c:v>Mai</c:v>
                </c:pt>
                <c:pt idx="5">
                  <c:v>Jun</c:v>
                </c:pt>
                <c:pt idx="6">
                  <c:v>Jul</c:v>
                </c:pt>
                <c:pt idx="7">
                  <c:v>Aug</c:v>
                </c:pt>
                <c:pt idx="8">
                  <c:v>Sep</c:v>
                </c:pt>
                <c:pt idx="9">
                  <c:v>Okt</c:v>
                </c:pt>
                <c:pt idx="10">
                  <c:v>Nov</c:v>
                </c:pt>
                <c:pt idx="11">
                  <c:v>Dez</c:v>
                </c:pt>
              </c:strCache>
            </c:strRef>
          </c:cat>
          <c:val>
            <c:numRef>
              <c:f>Tabelle1!$B$3:$M$3</c:f>
              <c:numCache>
                <c:formatCode>General</c:formatCode>
                <c:ptCount val="12"/>
                <c:pt idx="0">
                  <c:v>1463</c:v>
                </c:pt>
                <c:pt idx="1">
                  <c:v>1498</c:v>
                </c:pt>
                <c:pt idx="2">
                  <c:v>1448</c:v>
                </c:pt>
                <c:pt idx="3">
                  <c:v>1249</c:v>
                </c:pt>
                <c:pt idx="4">
                  <c:v>1158</c:v>
                </c:pt>
                <c:pt idx="5">
                  <c:v>1058</c:v>
                </c:pt>
                <c:pt idx="6">
                  <c:v>960</c:v>
                </c:pt>
                <c:pt idx="7">
                  <c:v>896</c:v>
                </c:pt>
                <c:pt idx="8">
                  <c:v>808</c:v>
                </c:pt>
                <c:pt idx="9">
                  <c:v>758</c:v>
                </c:pt>
                <c:pt idx="10">
                  <c:v>768</c:v>
                </c:pt>
                <c:pt idx="11">
                  <c:v>766</c:v>
                </c:pt>
              </c:numCache>
            </c:numRef>
          </c:val>
          <c:smooth val="0"/>
        </c:ser>
        <c:dLbls>
          <c:showLegendKey val="0"/>
          <c:showVal val="0"/>
          <c:showCatName val="0"/>
          <c:showSerName val="0"/>
          <c:showPercent val="0"/>
          <c:showBubbleSize val="0"/>
        </c:dLbls>
        <c:marker val="1"/>
        <c:smooth val="0"/>
        <c:axId val="131685760"/>
        <c:axId val="131699840"/>
      </c:lineChart>
      <c:catAx>
        <c:axId val="131685760"/>
        <c:scaling>
          <c:orientation val="minMax"/>
        </c:scaling>
        <c:delete val="0"/>
        <c:axPos val="b"/>
        <c:majorTickMark val="cross"/>
        <c:minorTickMark val="none"/>
        <c:tickLblPos val="nextTo"/>
        <c:crossAx val="131699840"/>
        <c:crosses val="autoZero"/>
        <c:auto val="1"/>
        <c:lblAlgn val="ctr"/>
        <c:lblOffset val="100"/>
        <c:noMultiLvlLbl val="0"/>
      </c:catAx>
      <c:valAx>
        <c:axId val="131699840"/>
        <c:scaling>
          <c:orientation val="minMax"/>
          <c:max val="1600"/>
        </c:scaling>
        <c:delete val="0"/>
        <c:axPos val="l"/>
        <c:majorGridlines/>
        <c:numFmt formatCode="General" sourceLinked="1"/>
        <c:majorTickMark val="in"/>
        <c:minorTickMark val="in"/>
        <c:tickLblPos val="nextTo"/>
        <c:spPr>
          <a:ln w="9525">
            <a:noFill/>
          </a:ln>
        </c:spPr>
        <c:crossAx val="131685760"/>
        <c:crosses val="autoZero"/>
        <c:crossBetween val="between"/>
        <c:minorUnit val="100"/>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de-DE" sz="1200">
                <a:latin typeface="Arial" panose="020B0604020202020204" pitchFamily="34" charset="0"/>
                <a:cs typeface="Arial" panose="020B0604020202020204" pitchFamily="34" charset="0"/>
              </a:rPr>
              <a:t>Wohnungen und Notunterkünfte in den Städten des Landkreises Wittenberg</a:t>
            </a:r>
          </a:p>
        </c:rich>
      </c:tx>
      <c:overlay val="0"/>
    </c:title>
    <c:autoTitleDeleted val="0"/>
    <c:plotArea>
      <c:layout/>
      <c:barChart>
        <c:barDir val="bar"/>
        <c:grouping val="clustered"/>
        <c:varyColors val="0"/>
        <c:ser>
          <c:idx val="1"/>
          <c:order val="0"/>
          <c:tx>
            <c:strRef>
              <c:f>Diagramme!$E$52</c:f>
              <c:strCache>
                <c:ptCount val="1"/>
                <c:pt idx="0">
                  <c:v>31.12.2016</c:v>
                </c:pt>
              </c:strCache>
            </c:strRef>
          </c:tx>
          <c:spPr>
            <a:solidFill>
              <a:schemeClr val="tx2">
                <a:lumMod val="60000"/>
                <a:lumOff val="40000"/>
              </a:schemeClr>
            </a:solidFill>
          </c:spPr>
          <c:invertIfNegative val="0"/>
          <c:dLbls>
            <c:dLblPos val="outEnd"/>
            <c:showLegendKey val="0"/>
            <c:showVal val="1"/>
            <c:showCatName val="0"/>
            <c:showSerName val="0"/>
            <c:showPercent val="0"/>
            <c:showBubbleSize val="0"/>
            <c:showLeaderLines val="0"/>
          </c:dLbls>
          <c:cat>
            <c:strRef>
              <c:f>Diagramme!$A$54:$A$66</c:f>
              <c:strCache>
                <c:ptCount val="13"/>
                <c:pt idx="0">
                  <c:v>Oranienbaum-Wörlitz</c:v>
                </c:pt>
                <c:pt idx="1">
                  <c:v>Lutherstadt Wittenberg</c:v>
                </c:pt>
                <c:pt idx="2">
                  <c:v>Coswig</c:v>
                </c:pt>
                <c:pt idx="3">
                  <c:v>Annaburg</c:v>
                </c:pt>
                <c:pt idx="4">
                  <c:v>Zahna-Elster</c:v>
                </c:pt>
                <c:pt idx="5">
                  <c:v>Gräfenhainichen</c:v>
                </c:pt>
                <c:pt idx="6">
                  <c:v>Bad Schmiedeberg</c:v>
                </c:pt>
                <c:pt idx="7">
                  <c:v>Jessen</c:v>
                </c:pt>
                <c:pt idx="8">
                  <c:v>Kemberg</c:v>
                </c:pt>
                <c:pt idx="9">
                  <c:v>Notunterkunft/ÜWH WB</c:v>
                </c:pt>
                <c:pt idx="10">
                  <c:v>Notunterkunft/ÜWH Coswig</c:v>
                </c:pt>
                <c:pt idx="11">
                  <c:v>Notunterkunft Holzdorf</c:v>
                </c:pt>
                <c:pt idx="12">
                  <c:v>Notunterkunft/ÜWH GHC</c:v>
                </c:pt>
              </c:strCache>
            </c:strRef>
          </c:cat>
          <c:val>
            <c:numRef>
              <c:f>Diagramme!$E$54:$E$66</c:f>
              <c:numCache>
                <c:formatCode>General</c:formatCode>
                <c:ptCount val="13"/>
                <c:pt idx="0">
                  <c:v>154</c:v>
                </c:pt>
                <c:pt idx="1">
                  <c:v>110</c:v>
                </c:pt>
                <c:pt idx="2">
                  <c:v>28</c:v>
                </c:pt>
                <c:pt idx="3">
                  <c:v>16</c:v>
                </c:pt>
                <c:pt idx="4">
                  <c:v>5</c:v>
                </c:pt>
                <c:pt idx="5">
                  <c:v>29</c:v>
                </c:pt>
                <c:pt idx="6">
                  <c:v>1</c:v>
                </c:pt>
                <c:pt idx="7">
                  <c:v>84</c:v>
                </c:pt>
                <c:pt idx="8">
                  <c:v>3</c:v>
                </c:pt>
                <c:pt idx="9">
                  <c:v>1</c:v>
                </c:pt>
                <c:pt idx="10">
                  <c:v>1</c:v>
                </c:pt>
                <c:pt idx="12">
                  <c:v>1</c:v>
                </c:pt>
              </c:numCache>
            </c:numRef>
          </c:val>
        </c:ser>
        <c:ser>
          <c:idx val="0"/>
          <c:order val="1"/>
          <c:tx>
            <c:strRef>
              <c:f>Diagramme!$B$52</c:f>
              <c:strCache>
                <c:ptCount val="1"/>
                <c:pt idx="0">
                  <c:v>31.12.2015</c:v>
                </c:pt>
              </c:strCache>
            </c:strRef>
          </c:tx>
          <c:spPr>
            <a:solidFill>
              <a:schemeClr val="accent3">
                <a:lumMod val="60000"/>
                <a:lumOff val="40000"/>
              </a:schemeClr>
            </a:solidFill>
          </c:spPr>
          <c:invertIfNegative val="0"/>
          <c:dLbls>
            <c:dLblPos val="outEnd"/>
            <c:showLegendKey val="0"/>
            <c:showVal val="1"/>
            <c:showCatName val="0"/>
            <c:showSerName val="0"/>
            <c:showPercent val="0"/>
            <c:showBubbleSize val="0"/>
            <c:showLeaderLines val="0"/>
          </c:dLbls>
          <c:cat>
            <c:strRef>
              <c:f>Diagramme!$A$54:$A$66</c:f>
              <c:strCache>
                <c:ptCount val="13"/>
                <c:pt idx="0">
                  <c:v>Oranienbaum-Wörlitz</c:v>
                </c:pt>
                <c:pt idx="1">
                  <c:v>Lutherstadt Wittenberg</c:v>
                </c:pt>
                <c:pt idx="2">
                  <c:v>Coswig</c:v>
                </c:pt>
                <c:pt idx="3">
                  <c:v>Annaburg</c:v>
                </c:pt>
                <c:pt idx="4">
                  <c:v>Zahna-Elster</c:v>
                </c:pt>
                <c:pt idx="5">
                  <c:v>Gräfenhainichen</c:v>
                </c:pt>
                <c:pt idx="6">
                  <c:v>Bad Schmiedeberg</c:v>
                </c:pt>
                <c:pt idx="7">
                  <c:v>Jessen</c:v>
                </c:pt>
                <c:pt idx="8">
                  <c:v>Kemberg</c:v>
                </c:pt>
                <c:pt idx="9">
                  <c:v>Notunterkunft/ÜWH WB</c:v>
                </c:pt>
                <c:pt idx="10">
                  <c:v>Notunterkunft/ÜWH Coswig</c:v>
                </c:pt>
                <c:pt idx="11">
                  <c:v>Notunterkunft Holzdorf</c:v>
                </c:pt>
                <c:pt idx="12">
                  <c:v>Notunterkunft/ÜWH GHC</c:v>
                </c:pt>
              </c:strCache>
            </c:strRef>
          </c:cat>
          <c:val>
            <c:numRef>
              <c:f>Diagramme!$B$54:$B$66</c:f>
              <c:numCache>
                <c:formatCode>General</c:formatCode>
                <c:ptCount val="13"/>
                <c:pt idx="0">
                  <c:v>154</c:v>
                </c:pt>
                <c:pt idx="1">
                  <c:v>72</c:v>
                </c:pt>
                <c:pt idx="2">
                  <c:v>45</c:v>
                </c:pt>
                <c:pt idx="3">
                  <c:v>13</c:v>
                </c:pt>
                <c:pt idx="4">
                  <c:v>5</c:v>
                </c:pt>
                <c:pt idx="5">
                  <c:v>26</c:v>
                </c:pt>
                <c:pt idx="6">
                  <c:v>3</c:v>
                </c:pt>
                <c:pt idx="8">
                  <c:v>2</c:v>
                </c:pt>
                <c:pt idx="9">
                  <c:v>1</c:v>
                </c:pt>
                <c:pt idx="10">
                  <c:v>1</c:v>
                </c:pt>
                <c:pt idx="11">
                  <c:v>1</c:v>
                </c:pt>
              </c:numCache>
            </c:numRef>
          </c:val>
        </c:ser>
        <c:dLbls>
          <c:showLegendKey val="0"/>
          <c:showVal val="0"/>
          <c:showCatName val="0"/>
          <c:showSerName val="0"/>
          <c:showPercent val="0"/>
          <c:showBubbleSize val="0"/>
        </c:dLbls>
        <c:gapWidth val="101"/>
        <c:overlap val="-100"/>
        <c:axId val="135608576"/>
        <c:axId val="135618560"/>
      </c:barChart>
      <c:catAx>
        <c:axId val="135608576"/>
        <c:scaling>
          <c:orientation val="minMax"/>
        </c:scaling>
        <c:delete val="0"/>
        <c:axPos val="l"/>
        <c:majorGridlines>
          <c:spPr>
            <a:ln>
              <a:solidFill>
                <a:schemeClr val="bg1">
                  <a:lumMod val="85000"/>
                </a:schemeClr>
              </a:solidFill>
            </a:ln>
          </c:spPr>
        </c:majorGridlines>
        <c:majorTickMark val="cross"/>
        <c:minorTickMark val="none"/>
        <c:tickLblPos val="nextTo"/>
        <c:crossAx val="135618560"/>
        <c:crosses val="autoZero"/>
        <c:auto val="1"/>
        <c:lblAlgn val="ctr"/>
        <c:lblOffset val="100"/>
        <c:noMultiLvlLbl val="0"/>
      </c:catAx>
      <c:valAx>
        <c:axId val="135618560"/>
        <c:scaling>
          <c:orientation val="minMax"/>
          <c:max val="165"/>
          <c:min val="0"/>
        </c:scaling>
        <c:delete val="0"/>
        <c:axPos val="b"/>
        <c:majorGridlines>
          <c:spPr>
            <a:ln>
              <a:solidFill>
                <a:schemeClr val="bg1">
                  <a:lumMod val="85000"/>
                </a:schemeClr>
              </a:solidFill>
            </a:ln>
          </c:spPr>
        </c:majorGridlines>
        <c:numFmt formatCode="General" sourceLinked="1"/>
        <c:majorTickMark val="cross"/>
        <c:minorTickMark val="cross"/>
        <c:tickLblPos val="nextTo"/>
        <c:txPr>
          <a:bodyPr rot="-5400000" vert="horz"/>
          <a:lstStyle/>
          <a:p>
            <a:pPr>
              <a:defRPr/>
            </a:pPr>
            <a:endParaRPr lang="de-DE"/>
          </a:p>
        </c:txPr>
        <c:crossAx val="135608576"/>
        <c:crosses val="autoZero"/>
        <c:crossBetween val="between"/>
        <c:majorUnit val="10"/>
        <c:minorUnit val="5"/>
      </c:valAx>
    </c:plotArea>
    <c:legend>
      <c:legendPos val="b"/>
      <c:layout>
        <c:manualLayout>
          <c:xMode val="edge"/>
          <c:yMode val="edge"/>
          <c:x val="0.37069861919433983"/>
          <c:y val="0.93442341978967547"/>
          <c:w val="0.31077667465479858"/>
          <c:h val="5.3698332251898358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de-DE" sz="1200">
                <a:latin typeface="Arial" panose="020B0604020202020204" pitchFamily="34" charset="0"/>
                <a:cs typeface="Arial" panose="020B0604020202020204" pitchFamily="34" charset="0"/>
              </a:rPr>
              <a:t>Anzahl</a:t>
            </a:r>
            <a:r>
              <a:rPr lang="de-DE" sz="1200" baseline="0">
                <a:latin typeface="Arial" panose="020B0604020202020204" pitchFamily="34" charset="0"/>
                <a:cs typeface="Arial" panose="020B0604020202020204" pitchFamily="34" charset="0"/>
              </a:rPr>
              <a:t> der Wohnplätze in den Wohnungen und Notunterkünfte </a:t>
            </a:r>
            <a:r>
              <a:rPr lang="de-DE" sz="1200">
                <a:latin typeface="Arial" panose="020B0604020202020204" pitchFamily="34" charset="0"/>
                <a:cs typeface="Arial" panose="020B0604020202020204" pitchFamily="34" charset="0"/>
              </a:rPr>
              <a:t>in den Städten des Landkreises Wittenberg</a:t>
            </a:r>
          </a:p>
        </c:rich>
      </c:tx>
      <c:overlay val="0"/>
    </c:title>
    <c:autoTitleDeleted val="0"/>
    <c:plotArea>
      <c:layout/>
      <c:barChart>
        <c:barDir val="bar"/>
        <c:grouping val="clustered"/>
        <c:varyColors val="0"/>
        <c:ser>
          <c:idx val="1"/>
          <c:order val="0"/>
          <c:tx>
            <c:strRef>
              <c:f>Diagramme!$E$52</c:f>
              <c:strCache>
                <c:ptCount val="1"/>
                <c:pt idx="0">
                  <c:v>31.12.2016</c:v>
                </c:pt>
              </c:strCache>
            </c:strRef>
          </c:tx>
          <c:spPr>
            <a:solidFill>
              <a:schemeClr val="tx2">
                <a:lumMod val="60000"/>
                <a:lumOff val="40000"/>
              </a:schemeClr>
            </a:solidFill>
          </c:spPr>
          <c:invertIfNegative val="0"/>
          <c:dLbls>
            <c:dLblPos val="outEnd"/>
            <c:showLegendKey val="0"/>
            <c:showVal val="1"/>
            <c:showCatName val="0"/>
            <c:showSerName val="0"/>
            <c:showPercent val="0"/>
            <c:showBubbleSize val="0"/>
            <c:showLeaderLines val="0"/>
          </c:dLbls>
          <c:cat>
            <c:strRef>
              <c:f>Diagramme!$A$54:$A$66</c:f>
              <c:strCache>
                <c:ptCount val="13"/>
                <c:pt idx="0">
                  <c:v>Oranienbaum-Wörlitz</c:v>
                </c:pt>
                <c:pt idx="1">
                  <c:v>Lutherstadt Wittenberg</c:v>
                </c:pt>
                <c:pt idx="2">
                  <c:v>Coswig</c:v>
                </c:pt>
                <c:pt idx="3">
                  <c:v>Annaburg</c:v>
                </c:pt>
                <c:pt idx="4">
                  <c:v>Zahna-Elster</c:v>
                </c:pt>
                <c:pt idx="5">
                  <c:v>Gräfenhainichen</c:v>
                </c:pt>
                <c:pt idx="6">
                  <c:v>Bad Schmiedeberg</c:v>
                </c:pt>
                <c:pt idx="7">
                  <c:v>Jessen</c:v>
                </c:pt>
                <c:pt idx="8">
                  <c:v>Kemberg</c:v>
                </c:pt>
                <c:pt idx="9">
                  <c:v>Notunterkunft/ÜWH WB</c:v>
                </c:pt>
                <c:pt idx="10">
                  <c:v>Notunterkunft/ÜWH Coswig</c:v>
                </c:pt>
                <c:pt idx="11">
                  <c:v>Notunterkunft Holzdorf</c:v>
                </c:pt>
                <c:pt idx="12">
                  <c:v>Notunterkunft/ÜWH GHC</c:v>
                </c:pt>
              </c:strCache>
            </c:strRef>
          </c:cat>
          <c:val>
            <c:numRef>
              <c:f>Diagramme!$F$54:$F$66</c:f>
              <c:numCache>
                <c:formatCode>General</c:formatCode>
                <c:ptCount val="13"/>
                <c:pt idx="0">
                  <c:v>758</c:v>
                </c:pt>
                <c:pt idx="1">
                  <c:v>553</c:v>
                </c:pt>
                <c:pt idx="2">
                  <c:v>140</c:v>
                </c:pt>
                <c:pt idx="3">
                  <c:v>70</c:v>
                </c:pt>
                <c:pt idx="4">
                  <c:v>16</c:v>
                </c:pt>
                <c:pt idx="5">
                  <c:v>147</c:v>
                </c:pt>
                <c:pt idx="6">
                  <c:v>3</c:v>
                </c:pt>
                <c:pt idx="7">
                  <c:v>531</c:v>
                </c:pt>
                <c:pt idx="8">
                  <c:v>11</c:v>
                </c:pt>
                <c:pt idx="9">
                  <c:v>222</c:v>
                </c:pt>
                <c:pt idx="10">
                  <c:v>195</c:v>
                </c:pt>
                <c:pt idx="12">
                  <c:v>80</c:v>
                </c:pt>
              </c:numCache>
            </c:numRef>
          </c:val>
        </c:ser>
        <c:ser>
          <c:idx val="0"/>
          <c:order val="1"/>
          <c:tx>
            <c:strRef>
              <c:f>Diagramme!$B$52</c:f>
              <c:strCache>
                <c:ptCount val="1"/>
                <c:pt idx="0">
                  <c:v>31.12.2015</c:v>
                </c:pt>
              </c:strCache>
            </c:strRef>
          </c:tx>
          <c:spPr>
            <a:solidFill>
              <a:schemeClr val="accent3">
                <a:lumMod val="60000"/>
                <a:lumOff val="40000"/>
              </a:schemeClr>
            </a:solidFill>
          </c:spPr>
          <c:invertIfNegative val="0"/>
          <c:dLbls>
            <c:dLblPos val="outEnd"/>
            <c:showLegendKey val="0"/>
            <c:showVal val="1"/>
            <c:showCatName val="0"/>
            <c:showSerName val="0"/>
            <c:showPercent val="0"/>
            <c:showBubbleSize val="0"/>
            <c:showLeaderLines val="0"/>
          </c:dLbls>
          <c:cat>
            <c:strRef>
              <c:f>Diagramme!$A$54:$A$66</c:f>
              <c:strCache>
                <c:ptCount val="13"/>
                <c:pt idx="0">
                  <c:v>Oranienbaum-Wörlitz</c:v>
                </c:pt>
                <c:pt idx="1">
                  <c:v>Lutherstadt Wittenberg</c:v>
                </c:pt>
                <c:pt idx="2">
                  <c:v>Coswig</c:v>
                </c:pt>
                <c:pt idx="3">
                  <c:v>Annaburg</c:v>
                </c:pt>
                <c:pt idx="4">
                  <c:v>Zahna-Elster</c:v>
                </c:pt>
                <c:pt idx="5">
                  <c:v>Gräfenhainichen</c:v>
                </c:pt>
                <c:pt idx="6">
                  <c:v>Bad Schmiedeberg</c:v>
                </c:pt>
                <c:pt idx="7">
                  <c:v>Jessen</c:v>
                </c:pt>
                <c:pt idx="8">
                  <c:v>Kemberg</c:v>
                </c:pt>
                <c:pt idx="9">
                  <c:v>Notunterkunft/ÜWH WB</c:v>
                </c:pt>
                <c:pt idx="10">
                  <c:v>Notunterkunft/ÜWH Coswig</c:v>
                </c:pt>
                <c:pt idx="11">
                  <c:v>Notunterkunft Holzdorf</c:v>
                </c:pt>
                <c:pt idx="12">
                  <c:v>Notunterkunft/ÜWH GHC</c:v>
                </c:pt>
              </c:strCache>
            </c:strRef>
          </c:cat>
          <c:val>
            <c:numRef>
              <c:f>Diagramme!$C$54:$C$66</c:f>
              <c:numCache>
                <c:formatCode>General</c:formatCode>
                <c:ptCount val="13"/>
                <c:pt idx="0">
                  <c:v>754</c:v>
                </c:pt>
                <c:pt idx="1">
                  <c:v>369</c:v>
                </c:pt>
                <c:pt idx="2">
                  <c:v>215</c:v>
                </c:pt>
                <c:pt idx="3">
                  <c:v>54</c:v>
                </c:pt>
                <c:pt idx="4">
                  <c:v>16</c:v>
                </c:pt>
                <c:pt idx="5">
                  <c:v>129</c:v>
                </c:pt>
                <c:pt idx="6">
                  <c:v>11</c:v>
                </c:pt>
                <c:pt idx="8">
                  <c:v>7</c:v>
                </c:pt>
                <c:pt idx="9">
                  <c:v>138</c:v>
                </c:pt>
                <c:pt idx="10">
                  <c:v>164</c:v>
                </c:pt>
                <c:pt idx="11">
                  <c:v>144</c:v>
                </c:pt>
              </c:numCache>
            </c:numRef>
          </c:val>
        </c:ser>
        <c:dLbls>
          <c:showLegendKey val="0"/>
          <c:showVal val="0"/>
          <c:showCatName val="0"/>
          <c:showSerName val="0"/>
          <c:showPercent val="0"/>
          <c:showBubbleSize val="0"/>
        </c:dLbls>
        <c:gapWidth val="101"/>
        <c:overlap val="-100"/>
        <c:axId val="135636864"/>
        <c:axId val="135638400"/>
      </c:barChart>
      <c:catAx>
        <c:axId val="135636864"/>
        <c:scaling>
          <c:orientation val="minMax"/>
        </c:scaling>
        <c:delete val="0"/>
        <c:axPos val="l"/>
        <c:majorGridlines>
          <c:spPr>
            <a:ln>
              <a:solidFill>
                <a:schemeClr val="bg1">
                  <a:lumMod val="85000"/>
                </a:schemeClr>
              </a:solidFill>
            </a:ln>
          </c:spPr>
        </c:majorGridlines>
        <c:majorTickMark val="cross"/>
        <c:minorTickMark val="none"/>
        <c:tickLblPos val="nextTo"/>
        <c:spPr>
          <a:noFill/>
        </c:spPr>
        <c:crossAx val="135638400"/>
        <c:crosses val="autoZero"/>
        <c:auto val="1"/>
        <c:lblAlgn val="ctr"/>
        <c:lblOffset val="100"/>
        <c:noMultiLvlLbl val="0"/>
      </c:catAx>
      <c:valAx>
        <c:axId val="135638400"/>
        <c:scaling>
          <c:orientation val="minMax"/>
          <c:max val="800"/>
        </c:scaling>
        <c:delete val="0"/>
        <c:axPos val="b"/>
        <c:majorGridlines>
          <c:spPr>
            <a:ln>
              <a:solidFill>
                <a:schemeClr val="bg1">
                  <a:lumMod val="85000"/>
                </a:schemeClr>
              </a:solidFill>
            </a:ln>
          </c:spPr>
        </c:majorGridlines>
        <c:numFmt formatCode="General" sourceLinked="1"/>
        <c:majorTickMark val="cross"/>
        <c:minorTickMark val="cross"/>
        <c:tickLblPos val="nextTo"/>
        <c:txPr>
          <a:bodyPr rot="-5400000" vert="horz"/>
          <a:lstStyle/>
          <a:p>
            <a:pPr>
              <a:defRPr/>
            </a:pPr>
            <a:endParaRPr lang="de-DE"/>
          </a:p>
        </c:txPr>
        <c:crossAx val="135636864"/>
        <c:crosses val="autoZero"/>
        <c:crossBetween val="between"/>
        <c:majorUnit val="50"/>
        <c:minorUnit val="25"/>
      </c:valAx>
    </c:plotArea>
    <c:legend>
      <c:legendPos val="b"/>
      <c:layout>
        <c:manualLayout>
          <c:xMode val="edge"/>
          <c:yMode val="edge"/>
          <c:x val="0.38866645152962437"/>
          <c:y val="0.92932380517732427"/>
          <c:w val="0.3652900477604234"/>
          <c:h val="5.3067977654664041E-2"/>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Wohnungsentwicklung 2016 -</a:t>
            </a:r>
            <a:r>
              <a:rPr lang="en-US" sz="1200" baseline="0">
                <a:latin typeface="Arial" panose="020B0604020202020204" pitchFamily="34" charset="0"/>
                <a:cs typeface="Arial" panose="020B0604020202020204" pitchFamily="34" charset="0"/>
              </a:rPr>
              <a:t> 2021</a:t>
            </a:r>
            <a:endParaRPr lang="en-US" sz="1200">
              <a:latin typeface="Arial" panose="020B0604020202020204" pitchFamily="34" charset="0"/>
              <a:cs typeface="Arial" panose="020B0604020202020204" pitchFamily="34" charset="0"/>
            </a:endParaRPr>
          </a:p>
        </c:rich>
      </c:tx>
      <c:overlay val="0"/>
    </c:title>
    <c:autoTitleDeleted val="0"/>
    <c:plotArea>
      <c:layout/>
      <c:lineChart>
        <c:grouping val="stacked"/>
        <c:varyColors val="0"/>
        <c:ser>
          <c:idx val="0"/>
          <c:order val="0"/>
          <c:tx>
            <c:strRef>
              <c:f>Tabelle1!$B$123</c:f>
              <c:strCache>
                <c:ptCount val="1"/>
                <c:pt idx="0">
                  <c:v>Anzahl Wohnungen</c:v>
                </c:pt>
              </c:strCache>
            </c:strRef>
          </c:tx>
          <c:spPr>
            <a:ln w="19050">
              <a:prstDash val="dash"/>
            </a:ln>
          </c:spPr>
          <c:marker>
            <c:symbol val="circle"/>
            <c:size val="4"/>
            <c:spPr>
              <a:solidFill>
                <a:schemeClr val="accent1"/>
              </a:solidFill>
              <a:ln w="19050">
                <a:prstDash val="dash"/>
              </a:ln>
            </c:spPr>
          </c:marker>
          <c:dLbls>
            <c:dLbl>
              <c:idx val="0"/>
              <c:layout>
                <c:manualLayout>
                  <c:x val="-1.1725293132328308E-2"/>
                  <c:y val="-4.5261662302856366E-2"/>
                </c:manualLayout>
              </c:layout>
              <c:dLblPos val="r"/>
              <c:showLegendKey val="0"/>
              <c:showVal val="1"/>
              <c:showCatName val="0"/>
              <c:showSerName val="0"/>
              <c:showPercent val="0"/>
              <c:showBubbleSize val="0"/>
            </c:dLbl>
            <c:dLbl>
              <c:idx val="1"/>
              <c:layout>
                <c:manualLayout>
                  <c:x val="-3.1783853651459394E-2"/>
                  <c:y val="-5.0408542930864893E-2"/>
                </c:manualLayout>
              </c:layout>
              <c:dLblPos val="r"/>
              <c:showLegendKey val="0"/>
              <c:showVal val="1"/>
              <c:showCatName val="0"/>
              <c:showSerName val="0"/>
              <c:showPercent val="0"/>
              <c:showBubbleSize val="0"/>
            </c:dLbl>
            <c:dLbl>
              <c:idx val="2"/>
              <c:layout>
                <c:manualLayout>
                  <c:x val="-2.287843416557855E-2"/>
                  <c:y val="-3.2407528404366025E-2"/>
                </c:manualLayout>
              </c:layout>
              <c:dLblPos val="r"/>
              <c:showLegendKey val="0"/>
              <c:showVal val="1"/>
              <c:showCatName val="0"/>
              <c:showSerName val="0"/>
              <c:showPercent val="0"/>
              <c:showBubbleSize val="0"/>
            </c:dLbl>
            <c:dLbl>
              <c:idx val="3"/>
              <c:layout>
                <c:manualLayout>
                  <c:x val="-2.9006185784565874E-2"/>
                  <c:y val="-4.7835102616860622E-2"/>
                </c:manualLayout>
              </c:layout>
              <c:dLblPos val="r"/>
              <c:showLegendKey val="0"/>
              <c:showVal val="1"/>
              <c:showCatName val="0"/>
              <c:showSerName val="0"/>
              <c:showPercent val="0"/>
              <c:showBubbleSize val="0"/>
            </c:dLbl>
            <c:dLbl>
              <c:idx val="4"/>
              <c:layout>
                <c:manualLayout>
                  <c:x val="-8.3333333333332309E-3"/>
                  <c:y val="-1.8518518518518517E-2"/>
                </c:manualLayout>
              </c:layout>
              <c:dLblPos val="r"/>
              <c:showLegendKey val="0"/>
              <c:showVal val="1"/>
              <c:showCatName val="0"/>
              <c:showSerName val="0"/>
              <c:showPercent val="0"/>
              <c:showBubbleSize val="0"/>
            </c:dLbl>
            <c:dLbl>
              <c:idx val="5"/>
              <c:layout>
                <c:manualLayout>
                  <c:x val="-1.6750418760468889E-2"/>
                  <c:y val="-4.1489857110951663E-2"/>
                </c:manualLayout>
              </c:layout>
              <c:dLblPos val="r"/>
              <c:showLegendKey val="0"/>
              <c:showVal val="1"/>
              <c:showCatName val="0"/>
              <c:showSerName val="0"/>
              <c:showPercent val="0"/>
              <c:showBubbleSize val="0"/>
            </c:dLbl>
            <c:spPr>
              <a:noFill/>
            </c:spPr>
            <c:txPr>
              <a:bodyPr/>
              <a:lstStyle/>
              <a:p>
                <a:pPr>
                  <a:defRPr sz="1000" b="1">
                    <a:solidFill>
                      <a:schemeClr val="accent1"/>
                    </a:solidFill>
                  </a:defRPr>
                </a:pPr>
                <a:endParaRPr lang="de-DE"/>
              </a:p>
            </c:txPr>
            <c:dLblPos val="r"/>
            <c:showLegendKey val="0"/>
            <c:showVal val="1"/>
            <c:showCatName val="0"/>
            <c:showSerName val="0"/>
            <c:showPercent val="0"/>
            <c:showBubbleSize val="0"/>
            <c:showLeaderLines val="0"/>
          </c:dLbls>
          <c:cat>
            <c:numRef>
              <c:f>Tabelle1!$A$124:$A$129</c:f>
              <c:numCache>
                <c:formatCode>0</c:formatCode>
                <c:ptCount val="6"/>
                <c:pt idx="0">
                  <c:v>2016</c:v>
                </c:pt>
                <c:pt idx="1">
                  <c:v>2017</c:v>
                </c:pt>
                <c:pt idx="2">
                  <c:v>2018</c:v>
                </c:pt>
                <c:pt idx="3">
                  <c:v>2019</c:v>
                </c:pt>
                <c:pt idx="4">
                  <c:v>2020</c:v>
                </c:pt>
                <c:pt idx="5">
                  <c:v>2021</c:v>
                </c:pt>
              </c:numCache>
            </c:numRef>
          </c:cat>
          <c:val>
            <c:numRef>
              <c:f>Tabelle1!$B$124:$B$129</c:f>
              <c:numCache>
                <c:formatCode>General</c:formatCode>
                <c:ptCount val="6"/>
                <c:pt idx="0">
                  <c:v>431</c:v>
                </c:pt>
                <c:pt idx="1">
                  <c:v>290</c:v>
                </c:pt>
                <c:pt idx="2">
                  <c:v>256</c:v>
                </c:pt>
                <c:pt idx="3">
                  <c:v>230</c:v>
                </c:pt>
                <c:pt idx="4">
                  <c:v>44</c:v>
                </c:pt>
                <c:pt idx="5">
                  <c:v>41</c:v>
                </c:pt>
              </c:numCache>
            </c:numRef>
          </c:val>
          <c:smooth val="0"/>
        </c:ser>
        <c:dLbls>
          <c:showLegendKey val="0"/>
          <c:showVal val="0"/>
          <c:showCatName val="0"/>
          <c:showSerName val="0"/>
          <c:showPercent val="0"/>
          <c:showBubbleSize val="0"/>
        </c:dLbls>
        <c:marker val="1"/>
        <c:smooth val="0"/>
        <c:axId val="135881088"/>
        <c:axId val="135883008"/>
      </c:lineChart>
      <c:catAx>
        <c:axId val="135881088"/>
        <c:scaling>
          <c:orientation val="minMax"/>
          <c:max val="6"/>
          <c:min val="1"/>
        </c:scaling>
        <c:delete val="0"/>
        <c:axPos val="b"/>
        <c:title>
          <c:tx>
            <c:rich>
              <a:bodyPr/>
              <a:lstStyle/>
              <a:p>
                <a:pPr>
                  <a:defRPr sz="1100">
                    <a:solidFill>
                      <a:sysClr val="windowText" lastClr="000000"/>
                    </a:solidFill>
                  </a:defRPr>
                </a:pPr>
                <a:r>
                  <a:rPr lang="de-DE" sz="1100">
                    <a:solidFill>
                      <a:sysClr val="windowText" lastClr="000000"/>
                    </a:solidFill>
                  </a:rPr>
                  <a:t>Stichtag 31.12.</a:t>
                </a:r>
              </a:p>
            </c:rich>
          </c:tx>
          <c:overlay val="0"/>
        </c:title>
        <c:numFmt formatCode="0" sourceLinked="1"/>
        <c:majorTickMark val="none"/>
        <c:minorTickMark val="cross"/>
        <c:tickLblPos val="nextTo"/>
        <c:spPr>
          <a:ln w="15875">
            <a:tailEnd type="triangle" w="med" len="lg"/>
          </a:ln>
        </c:spPr>
        <c:txPr>
          <a:bodyPr rot="0" vert="horz" anchor="ctr" anchorCtr="0"/>
          <a:lstStyle/>
          <a:p>
            <a:pPr>
              <a:defRPr b="1">
                <a:solidFill>
                  <a:sysClr val="windowText" lastClr="000000"/>
                </a:solidFill>
              </a:defRPr>
            </a:pPr>
            <a:endParaRPr lang="de-DE"/>
          </a:p>
        </c:txPr>
        <c:crossAx val="135883008"/>
        <c:crossesAt val="0"/>
        <c:auto val="0"/>
        <c:lblAlgn val="ctr"/>
        <c:lblOffset val="100"/>
        <c:noMultiLvlLbl val="0"/>
      </c:catAx>
      <c:valAx>
        <c:axId val="135883008"/>
        <c:scaling>
          <c:orientation val="minMax"/>
          <c:max val="500"/>
        </c:scaling>
        <c:delete val="0"/>
        <c:axPos val="l"/>
        <c:majorGridlines>
          <c:spPr>
            <a:ln>
              <a:solidFill>
                <a:schemeClr val="accent1"/>
              </a:solidFill>
            </a:ln>
          </c:spPr>
        </c:majorGridlines>
        <c:title>
          <c:tx>
            <c:rich>
              <a:bodyPr/>
              <a:lstStyle/>
              <a:p>
                <a:pPr>
                  <a:defRPr sz="1100">
                    <a:solidFill>
                      <a:sysClr val="windowText" lastClr="000000"/>
                    </a:solidFill>
                  </a:defRPr>
                </a:pPr>
                <a:r>
                  <a:rPr lang="de-DE" sz="1100">
                    <a:solidFill>
                      <a:sysClr val="windowText" lastClr="000000"/>
                    </a:solidFill>
                  </a:rPr>
                  <a:t>Anzahl der Wohnungen</a:t>
                </a:r>
              </a:p>
            </c:rich>
          </c:tx>
          <c:overlay val="0"/>
          <c:spPr>
            <a:ln>
              <a:noFill/>
            </a:ln>
          </c:spPr>
        </c:title>
        <c:numFmt formatCode="General" sourceLinked="1"/>
        <c:majorTickMark val="out"/>
        <c:minorTickMark val="in"/>
        <c:tickLblPos val="nextTo"/>
        <c:spPr>
          <a:ln w="15875">
            <a:tailEnd type="triangle" w="med" len="lg"/>
          </a:ln>
        </c:spPr>
        <c:txPr>
          <a:bodyPr/>
          <a:lstStyle/>
          <a:p>
            <a:pPr>
              <a:defRPr b="1">
                <a:solidFill>
                  <a:sysClr val="windowText" lastClr="000000"/>
                </a:solidFill>
              </a:defRPr>
            </a:pPr>
            <a:endParaRPr lang="de-DE"/>
          </a:p>
        </c:txPr>
        <c:crossAx val="135881088"/>
        <c:crosses val="autoZero"/>
        <c:crossBetween val="between"/>
        <c:majorUnit val="50"/>
        <c:minorUnit val="25"/>
      </c:valAx>
      <c:spPr>
        <a:solidFill>
          <a:schemeClr val="accent3">
            <a:lumMod val="40000"/>
            <a:lumOff val="60000"/>
          </a:schemeClr>
        </a:solidFill>
        <a:ln>
          <a:solidFill>
            <a:schemeClr val="accent3"/>
          </a:solidFill>
        </a:ln>
      </c:spPr>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de-DE" sz="1200">
                <a:latin typeface="Arial" panose="020B0604020202020204" pitchFamily="34" charset="0"/>
                <a:cs typeface="Arial" panose="020B0604020202020204" pitchFamily="34" charset="0"/>
              </a:rPr>
              <a:t>Entwicklung der OPEN/PROSOZ</a:t>
            </a:r>
            <a:r>
              <a:rPr lang="de-DE" sz="1200" baseline="0">
                <a:latin typeface="Arial" panose="020B0604020202020204" pitchFamily="34" charset="0"/>
                <a:cs typeface="Arial" panose="020B0604020202020204" pitchFamily="34" charset="0"/>
              </a:rPr>
              <a:t> - Personenzahlen der nicht dauerhaft aufenthaltsberechtigten Ausländer </a:t>
            </a:r>
            <a:r>
              <a:rPr lang="de-DE" sz="1200" baseline="0">
                <a:solidFill>
                  <a:schemeClr val="accent1"/>
                </a:solidFill>
                <a:latin typeface="Arial" panose="020B0604020202020204" pitchFamily="34" charset="0"/>
                <a:cs typeface="Arial" panose="020B0604020202020204" pitchFamily="34" charset="0"/>
              </a:rPr>
              <a:t>2016</a:t>
            </a:r>
            <a:r>
              <a:rPr lang="de-DE" sz="1200" baseline="0">
                <a:latin typeface="Arial" panose="020B0604020202020204" pitchFamily="34" charset="0"/>
                <a:cs typeface="Arial" panose="020B0604020202020204" pitchFamily="34" charset="0"/>
              </a:rPr>
              <a:t> und </a:t>
            </a:r>
            <a:r>
              <a:rPr lang="de-DE" sz="1200" baseline="0">
                <a:solidFill>
                  <a:schemeClr val="accent3"/>
                </a:solidFill>
                <a:latin typeface="Arial" panose="020B0604020202020204" pitchFamily="34" charset="0"/>
                <a:cs typeface="Arial" panose="020B0604020202020204" pitchFamily="34" charset="0"/>
              </a:rPr>
              <a:t>2017</a:t>
            </a:r>
            <a:endParaRPr lang="de-DE" sz="1200">
              <a:solidFill>
                <a:schemeClr val="accent3"/>
              </a:solidFill>
              <a:latin typeface="Arial" panose="020B0604020202020204" pitchFamily="34" charset="0"/>
              <a:cs typeface="Arial" panose="020B0604020202020204" pitchFamily="34" charset="0"/>
            </a:endParaRPr>
          </a:p>
        </c:rich>
      </c:tx>
      <c:overlay val="0"/>
      <c:spPr>
        <a:solidFill>
          <a:sysClr val="window" lastClr="FFFFFF"/>
        </a:solidFill>
      </c:spPr>
    </c:title>
    <c:autoTitleDeleted val="0"/>
    <c:plotArea>
      <c:layout/>
      <c:barChart>
        <c:barDir val="col"/>
        <c:grouping val="clustered"/>
        <c:varyColors val="0"/>
        <c:ser>
          <c:idx val="1"/>
          <c:order val="0"/>
          <c:tx>
            <c:strRef>
              <c:f>Tabelle1!$A$3</c:f>
              <c:strCache>
                <c:ptCount val="1"/>
                <c:pt idx="0">
                  <c:v>2016</c:v>
                </c:pt>
              </c:strCache>
            </c:strRef>
          </c:tx>
          <c:spPr>
            <a:solidFill>
              <a:schemeClr val="tx2">
                <a:lumMod val="60000"/>
                <a:lumOff val="40000"/>
              </a:schemeClr>
            </a:solidFill>
          </c:spPr>
          <c:invertIfNegative val="0"/>
          <c:dLbls>
            <c:dLblPos val="outEnd"/>
            <c:showLegendKey val="0"/>
            <c:showVal val="1"/>
            <c:showCatName val="0"/>
            <c:showSerName val="0"/>
            <c:showPercent val="0"/>
            <c:showBubbleSize val="0"/>
            <c:showLeaderLines val="0"/>
          </c:dLbls>
          <c:cat>
            <c:strRef>
              <c:f>Tabelle1!$B$1:$M$1</c:f>
              <c:strCache>
                <c:ptCount val="12"/>
                <c:pt idx="0">
                  <c:v>Jan</c:v>
                </c:pt>
                <c:pt idx="1">
                  <c:v>Feb</c:v>
                </c:pt>
                <c:pt idx="2">
                  <c:v>Mrz</c:v>
                </c:pt>
                <c:pt idx="3">
                  <c:v>Apr</c:v>
                </c:pt>
                <c:pt idx="4">
                  <c:v>Mai</c:v>
                </c:pt>
                <c:pt idx="5">
                  <c:v>Jun</c:v>
                </c:pt>
                <c:pt idx="6">
                  <c:v>Jul</c:v>
                </c:pt>
                <c:pt idx="7">
                  <c:v>Aug</c:v>
                </c:pt>
                <c:pt idx="8">
                  <c:v>Sep</c:v>
                </c:pt>
                <c:pt idx="9">
                  <c:v>Okt</c:v>
                </c:pt>
                <c:pt idx="10">
                  <c:v>Nov</c:v>
                </c:pt>
                <c:pt idx="11">
                  <c:v>Dez</c:v>
                </c:pt>
              </c:strCache>
            </c:strRef>
          </c:cat>
          <c:val>
            <c:numRef>
              <c:f>Tabelle1!$B$3:$M$3</c:f>
              <c:numCache>
                <c:formatCode>General</c:formatCode>
                <c:ptCount val="12"/>
                <c:pt idx="0">
                  <c:v>1463</c:v>
                </c:pt>
                <c:pt idx="1">
                  <c:v>1498</c:v>
                </c:pt>
                <c:pt idx="2">
                  <c:v>1448</c:v>
                </c:pt>
                <c:pt idx="3">
                  <c:v>1249</c:v>
                </c:pt>
                <c:pt idx="4">
                  <c:v>1158</c:v>
                </c:pt>
                <c:pt idx="5">
                  <c:v>1058</c:v>
                </c:pt>
                <c:pt idx="6">
                  <c:v>960</c:v>
                </c:pt>
                <c:pt idx="7">
                  <c:v>896</c:v>
                </c:pt>
                <c:pt idx="8">
                  <c:v>808</c:v>
                </c:pt>
                <c:pt idx="9">
                  <c:v>758</c:v>
                </c:pt>
                <c:pt idx="10">
                  <c:v>768</c:v>
                </c:pt>
                <c:pt idx="11">
                  <c:v>766</c:v>
                </c:pt>
              </c:numCache>
            </c:numRef>
          </c:val>
        </c:ser>
        <c:ser>
          <c:idx val="0"/>
          <c:order val="1"/>
          <c:tx>
            <c:strRef>
              <c:f>Tabelle1!$A$4</c:f>
              <c:strCache>
                <c:ptCount val="1"/>
                <c:pt idx="0">
                  <c:v>2017</c:v>
                </c:pt>
              </c:strCache>
            </c:strRef>
          </c:tx>
          <c:spPr>
            <a:solidFill>
              <a:schemeClr val="accent3">
                <a:lumMod val="60000"/>
                <a:lumOff val="40000"/>
              </a:schemeClr>
            </a:solidFill>
          </c:spPr>
          <c:invertIfNegative val="0"/>
          <c:dLbls>
            <c:dLbl>
              <c:idx val="3"/>
              <c:layout>
                <c:manualLayout>
                  <c:x val="0"/>
                  <c:y val="-9.324009324009324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Tabelle1!$B$1:$M$1</c:f>
              <c:strCache>
                <c:ptCount val="12"/>
                <c:pt idx="0">
                  <c:v>Jan</c:v>
                </c:pt>
                <c:pt idx="1">
                  <c:v>Feb</c:v>
                </c:pt>
                <c:pt idx="2">
                  <c:v>Mrz</c:v>
                </c:pt>
                <c:pt idx="3">
                  <c:v>Apr</c:v>
                </c:pt>
                <c:pt idx="4">
                  <c:v>Mai</c:v>
                </c:pt>
                <c:pt idx="5">
                  <c:v>Jun</c:v>
                </c:pt>
                <c:pt idx="6">
                  <c:v>Jul</c:v>
                </c:pt>
                <c:pt idx="7">
                  <c:v>Aug</c:v>
                </c:pt>
                <c:pt idx="8">
                  <c:v>Sep</c:v>
                </c:pt>
                <c:pt idx="9">
                  <c:v>Okt</c:v>
                </c:pt>
                <c:pt idx="10">
                  <c:v>Nov</c:v>
                </c:pt>
                <c:pt idx="11">
                  <c:v>Dez</c:v>
                </c:pt>
              </c:strCache>
            </c:strRef>
          </c:cat>
          <c:val>
            <c:numRef>
              <c:f>Tabelle1!$B$4:$G$4</c:f>
              <c:numCache>
                <c:formatCode>General</c:formatCode>
                <c:ptCount val="6"/>
                <c:pt idx="0">
                  <c:v>817</c:v>
                </c:pt>
                <c:pt idx="1">
                  <c:v>793</c:v>
                </c:pt>
                <c:pt idx="2">
                  <c:v>753</c:v>
                </c:pt>
                <c:pt idx="3">
                  <c:v>716</c:v>
                </c:pt>
                <c:pt idx="4">
                  <c:v>635</c:v>
                </c:pt>
                <c:pt idx="5">
                  <c:v>641</c:v>
                </c:pt>
              </c:numCache>
            </c:numRef>
          </c:val>
        </c:ser>
        <c:dLbls>
          <c:showLegendKey val="0"/>
          <c:showVal val="0"/>
          <c:showCatName val="0"/>
          <c:showSerName val="0"/>
          <c:showPercent val="0"/>
          <c:showBubbleSize val="0"/>
        </c:dLbls>
        <c:gapWidth val="149"/>
        <c:overlap val="-100"/>
        <c:axId val="135917568"/>
        <c:axId val="135919104"/>
      </c:barChart>
      <c:catAx>
        <c:axId val="135917568"/>
        <c:scaling>
          <c:orientation val="minMax"/>
        </c:scaling>
        <c:delete val="0"/>
        <c:axPos val="b"/>
        <c:majorTickMark val="cross"/>
        <c:minorTickMark val="none"/>
        <c:tickLblPos val="nextTo"/>
        <c:crossAx val="135919104"/>
        <c:crosses val="autoZero"/>
        <c:auto val="1"/>
        <c:lblAlgn val="ctr"/>
        <c:lblOffset val="100"/>
        <c:tickLblSkip val="1"/>
        <c:noMultiLvlLbl val="0"/>
      </c:catAx>
      <c:valAx>
        <c:axId val="135919104"/>
        <c:scaling>
          <c:orientation val="minMax"/>
          <c:max val="1600"/>
        </c:scaling>
        <c:delete val="0"/>
        <c:axPos val="l"/>
        <c:majorGridlines/>
        <c:numFmt formatCode="General" sourceLinked="1"/>
        <c:majorTickMark val="in"/>
        <c:minorTickMark val="in"/>
        <c:tickLblPos val="nextTo"/>
        <c:spPr>
          <a:ln w="9525">
            <a:noFill/>
          </a:ln>
        </c:spPr>
        <c:crossAx val="135917568"/>
        <c:crosses val="autoZero"/>
        <c:crossBetween val="between"/>
        <c:majorUnit val="200"/>
        <c:minorUnit val="100"/>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0.02402</cdr:x>
      <cdr:y>0.39987</cdr:y>
    </cdr:from>
    <cdr:to>
      <cdr:x>0.97851</cdr:x>
      <cdr:y>0.39987</cdr:y>
    </cdr:to>
    <cdr:cxnSp macro="">
      <cdr:nvCxnSpPr>
        <cdr:cNvPr id="2" name="Gerade Verbindung 1"/>
        <cdr:cNvCxnSpPr/>
      </cdr:nvCxnSpPr>
      <cdr:spPr>
        <a:xfrm xmlns:a="http://schemas.openxmlformats.org/drawingml/2006/main">
          <a:off x="138403" y="1617695"/>
          <a:ext cx="5499762" cy="0"/>
        </a:xfrm>
        <a:prstGeom xmlns:a="http://schemas.openxmlformats.org/drawingml/2006/main" prst="line">
          <a:avLst/>
        </a:prstGeom>
        <a:ln xmlns:a="http://schemas.openxmlformats.org/drawingml/2006/main" w="19050">
          <a:solidFill>
            <a:schemeClr val="accent6">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0.02115</cdr:x>
      <cdr:y>0.43871</cdr:y>
    </cdr:from>
    <cdr:to>
      <cdr:x>0.98755</cdr:x>
      <cdr:y>0.43871</cdr:y>
    </cdr:to>
    <cdr:cxnSp macro="">
      <cdr:nvCxnSpPr>
        <cdr:cNvPr id="3" name="Gerade Verbindung 2"/>
        <cdr:cNvCxnSpPr/>
      </cdr:nvCxnSpPr>
      <cdr:spPr>
        <a:xfrm xmlns:a="http://schemas.openxmlformats.org/drawingml/2006/main">
          <a:off x="121857" y="1884585"/>
          <a:ext cx="5568387" cy="0"/>
        </a:xfrm>
        <a:prstGeom xmlns:a="http://schemas.openxmlformats.org/drawingml/2006/main" prst="line">
          <a:avLst/>
        </a:prstGeom>
        <a:ln xmlns:a="http://schemas.openxmlformats.org/drawingml/2006/main" w="19050">
          <a:solidFill>
            <a:schemeClr val="accent6">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91F3-E12C-413B-AD9D-A0BBA190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7074</Words>
  <Characters>44571</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Landkreis Wittenberg</Company>
  <LinksUpToDate>false</LinksUpToDate>
  <CharactersWithSpaces>51542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Richter</dc:creator>
  <cp:lastModifiedBy>Sven Richter</cp:lastModifiedBy>
  <cp:revision>10</cp:revision>
  <cp:lastPrinted>2017-07-10T12:04:00Z</cp:lastPrinted>
  <dcterms:created xsi:type="dcterms:W3CDTF">2017-08-14T09:06:00Z</dcterms:created>
  <dcterms:modified xsi:type="dcterms:W3CDTF">2017-08-14T13:10:00Z</dcterms:modified>
</cp:coreProperties>
</file>